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附件：</w:t>
      </w: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2"/>
          <w:szCs w:val="32"/>
        </w:rPr>
      </w:pPr>
    </w:p>
    <w:p>
      <w:pPr>
        <w:keepNext w:val="0"/>
        <w:keepLines w:val="0"/>
        <w:pageBreakBefore w:val="0"/>
        <w:kinsoku/>
        <w:overflowPunct/>
        <w:topLinePunct w:val="0"/>
        <w:autoSpaceDE/>
        <w:autoSpaceDN/>
        <w:bidi w:val="0"/>
        <w:adjustRightInd w:val="0"/>
        <w:snapToGrid w:val="0"/>
        <w:spacing w:line="560" w:lineRule="exact"/>
        <w:jc w:val="center"/>
        <w:outlineLvl w:val="0"/>
        <w:rPr>
          <w:rFonts w:hint="default" w:ascii="TimesNewRoman" w:hAnsi="TimesNewRoman" w:eastAsia="仿宋_GB2312" w:cs="TimesNewRoman"/>
          <w:b w:val="0"/>
          <w:bCs w:val="0"/>
          <w:color w:val="000000"/>
          <w:sz w:val="32"/>
          <w:szCs w:val="32"/>
          <w:highlight w:val="none"/>
          <w:lang w:eastAsia="zh-CN"/>
        </w:rPr>
      </w:pPr>
      <w:r>
        <w:rPr>
          <w:rFonts w:hint="eastAsia" w:ascii="TimesNewRoman" w:hAnsi="TimesNewRoman" w:eastAsia="华文中宋" w:cs="TimesNewRoman"/>
          <w:b/>
          <w:color w:val="000000"/>
          <w:sz w:val="40"/>
          <w:szCs w:val="40"/>
          <w:lang w:eastAsia="zh-CN"/>
        </w:rPr>
        <w:t>淮南市人大常委会办公室</w:t>
      </w:r>
      <w:r>
        <w:rPr>
          <w:rFonts w:hint="eastAsia" w:ascii="TimesNewRoman" w:hAnsi="TimesNewRoman" w:eastAsia="华文中宋" w:cs="TimesNewRoman"/>
          <w:b/>
          <w:color w:val="000000"/>
          <w:sz w:val="40"/>
          <w:szCs w:val="40"/>
          <w:lang w:val="en-US" w:eastAsia="zh-CN"/>
        </w:rPr>
        <w:t>绩效自评项目清单</w:t>
      </w:r>
    </w:p>
    <w:tbl>
      <w:tblPr>
        <w:tblStyle w:val="5"/>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819"/>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8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color w:val="000000"/>
                <w:kern w:val="2"/>
                <w:sz w:val="32"/>
                <w:szCs w:val="32"/>
                <w:lang w:val="en-US" w:eastAsia="zh-CN" w:bidi="ar-SA"/>
              </w:rPr>
              <w:t>项目绩效</w:t>
            </w:r>
            <w:r>
              <w:rPr>
                <w:rFonts w:hint="eastAsia" w:ascii="TimesNewRoman" w:hAnsi="TimesNewRoman" w:cs="TimesNewRoman"/>
                <w:color w:val="000000"/>
                <w:kern w:val="2"/>
                <w:sz w:val="32"/>
                <w:szCs w:val="32"/>
                <w:lang w:val="en-US" w:eastAsia="zh-CN" w:bidi="ar-SA"/>
              </w:rPr>
              <w:t>自评</w:t>
            </w:r>
            <w:r>
              <w:rPr>
                <w:rFonts w:hint="default" w:ascii="TimesNewRoman" w:hAnsi="TimesNewRoman" w:eastAsia="仿宋_GB2312" w:cs="TimesNewRoman"/>
                <w:color w:val="000000"/>
                <w:kern w:val="2"/>
                <w:sz w:val="32"/>
                <w:szCs w:val="32"/>
                <w:lang w:val="en-US" w:eastAsia="zh-CN" w:bidi="ar-SA"/>
              </w:rPr>
              <w:t>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序号</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项目名称</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eastAsia" w:ascii="TimesNewRoman" w:hAnsi="TimesNewRoman" w:cs="TimesNewRoman"/>
                <w:color w:val="000000"/>
                <w:kern w:val="2"/>
                <w:sz w:val="32"/>
                <w:szCs w:val="32"/>
                <w:lang w:val="en-US" w:eastAsia="zh-CN" w:bidi="ar-SA"/>
              </w:rPr>
              <w:t>决算</w:t>
            </w:r>
            <w:r>
              <w:rPr>
                <w:rFonts w:hint="default" w:ascii="TimesNewRoman" w:hAnsi="TimesNewRoman" w:eastAsia="仿宋_GB2312" w:cs="TimesNewRoman"/>
                <w:color w:val="000000"/>
                <w:kern w:val="2"/>
                <w:sz w:val="32"/>
                <w:szCs w:val="32"/>
                <w:lang w:val="en-US" w:eastAsia="zh-CN" w:bidi="ar-SA"/>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1</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人代会及常委会会议经费</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b w:val="0"/>
                <w:bCs w:val="0"/>
                <w:color w:val="000000"/>
                <w:sz w:val="30"/>
                <w:szCs w:val="30"/>
                <w:highlight w:val="none"/>
                <w:vertAlign w:val="baseline"/>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2</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代表经费</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cs="仿宋_GB2312"/>
                <w:b w:val="0"/>
                <w:bCs w:val="0"/>
                <w:color w:val="000000"/>
                <w:sz w:val="30"/>
                <w:szCs w:val="30"/>
                <w:highlight w:val="none"/>
                <w:vertAlign w:val="baseline"/>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3</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立法资料库、立法经费及立法第三方评估费</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bookmarkStart w:id="0" w:name="_GoBack"/>
            <w:bookmarkEnd w:id="0"/>
            <w:r>
              <w:rPr>
                <w:rFonts w:hint="eastAsia" w:ascii="仿宋_GB2312" w:hAnsi="仿宋_GB2312" w:eastAsia="仿宋_GB2312" w:cs="仿宋_GB2312"/>
                <w:b w:val="0"/>
                <w:bCs w:val="0"/>
                <w:color w:val="000000"/>
                <w:sz w:val="30"/>
                <w:szCs w:val="30"/>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4</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评议、执法检查</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b w:val="0"/>
                <w:bCs w:val="0"/>
                <w:color w:val="000000"/>
                <w:sz w:val="30"/>
                <w:szCs w:val="3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5</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全省预算联网监督、审查费及预工委专项工作经费</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cs="仿宋_GB2312"/>
                <w:b w:val="0"/>
                <w:bCs w:val="0"/>
                <w:color w:val="000000"/>
                <w:sz w:val="30"/>
                <w:szCs w:val="30"/>
                <w:highlight w:val="none"/>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6</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cs="仿宋_GB2312"/>
                <w:i w:val="0"/>
                <w:iCs w:val="0"/>
                <w:color w:val="000000"/>
                <w:kern w:val="0"/>
                <w:sz w:val="30"/>
                <w:szCs w:val="30"/>
                <w:u w:val="none"/>
                <w:lang w:val="en-US" w:eastAsia="zh-CN" w:bidi="ar"/>
              </w:rPr>
              <w:t>备</w:t>
            </w:r>
            <w:r>
              <w:rPr>
                <w:rFonts w:hint="eastAsia" w:ascii="仿宋_GB2312" w:hAnsi="仿宋_GB2312" w:eastAsia="仿宋_GB2312" w:cs="仿宋_GB2312"/>
                <w:i w:val="0"/>
                <w:iCs w:val="0"/>
                <w:color w:val="000000"/>
                <w:kern w:val="0"/>
                <w:sz w:val="30"/>
                <w:szCs w:val="30"/>
                <w:u w:val="none"/>
                <w:lang w:val="en-US" w:eastAsia="zh-CN" w:bidi="ar"/>
              </w:rPr>
              <w:t>案审查及保密经费</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b w:val="0"/>
                <w:bCs w:val="0"/>
                <w:color w:val="000000"/>
                <w:sz w:val="30"/>
                <w:szCs w:val="30"/>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24"/>
                <w:szCs w:val="24"/>
                <w:highlight w:val="none"/>
                <w:vertAlign w:val="baseline"/>
                <w:lang w:val="en-US" w:eastAsia="zh-CN"/>
              </w:rPr>
            </w:pPr>
            <w:r>
              <w:rPr>
                <w:rFonts w:hint="eastAsia" w:ascii="TimesNewRoman" w:hAnsi="TimesNewRoman" w:cs="TimesNewRoman"/>
                <w:b w:val="0"/>
                <w:bCs w:val="0"/>
                <w:color w:val="000000"/>
                <w:sz w:val="28"/>
                <w:szCs w:val="28"/>
                <w:highlight w:val="none"/>
                <w:vertAlign w:val="baseline"/>
                <w:lang w:val="en-US" w:eastAsia="zh-CN"/>
              </w:rPr>
              <w:t>7</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行政管理经费</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b w:val="0"/>
                <w:bCs w:val="0"/>
                <w:color w:val="000000"/>
                <w:sz w:val="30"/>
                <w:szCs w:val="30"/>
                <w:highlight w:val="none"/>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8</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淮南人大信息</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b w:val="0"/>
                <w:bCs w:val="0"/>
                <w:color w:val="000000"/>
                <w:sz w:val="30"/>
                <w:szCs w:val="30"/>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9</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人大工作研究会经费</w:t>
            </w:r>
          </w:p>
        </w:tc>
        <w:tc>
          <w:tcPr>
            <w:tcW w:w="3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0"/>
                <w:szCs w:val="30"/>
                <w:highlight w:val="none"/>
                <w:vertAlign w:val="baseline"/>
                <w:lang w:val="en-US" w:eastAsia="zh-CN"/>
              </w:rPr>
            </w:pPr>
            <w:r>
              <w:rPr>
                <w:rFonts w:hint="eastAsia" w:ascii="仿宋_GB2312" w:hAnsi="仿宋_GB2312" w:eastAsia="仿宋_GB2312" w:cs="仿宋_GB2312"/>
                <w:b w:val="0"/>
                <w:bCs w:val="0"/>
                <w:color w:val="000000"/>
                <w:sz w:val="30"/>
                <w:szCs w:val="30"/>
                <w:highlight w:val="none"/>
                <w:vertAlign w:val="baseline"/>
                <w:lang w:val="en-US" w:eastAsia="zh-CN"/>
              </w:rPr>
              <w:t>3</w:t>
            </w:r>
          </w:p>
        </w:tc>
      </w:tr>
    </w:tbl>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pPr>
    </w:p>
    <w:tbl>
      <w:tblPr>
        <w:tblStyle w:val="4"/>
        <w:tblW w:w="9888" w:type="dxa"/>
        <w:tblInd w:w="-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
        <w:gridCol w:w="332"/>
        <w:gridCol w:w="484"/>
        <w:gridCol w:w="132"/>
        <w:gridCol w:w="194"/>
        <w:gridCol w:w="430"/>
        <w:gridCol w:w="156"/>
        <w:gridCol w:w="149"/>
        <w:gridCol w:w="655"/>
        <w:gridCol w:w="72"/>
        <w:gridCol w:w="72"/>
        <w:gridCol w:w="948"/>
        <w:gridCol w:w="504"/>
        <w:gridCol w:w="289"/>
        <w:gridCol w:w="263"/>
        <w:gridCol w:w="576"/>
        <w:gridCol w:w="160"/>
        <w:gridCol w:w="104"/>
        <w:gridCol w:w="827"/>
        <w:gridCol w:w="73"/>
        <w:gridCol w:w="156"/>
        <w:gridCol w:w="660"/>
        <w:gridCol w:w="252"/>
        <w:gridCol w:w="237"/>
        <w:gridCol w:w="63"/>
        <w:gridCol w:w="263"/>
        <w:gridCol w:w="217"/>
        <w:gridCol w:w="96"/>
        <w:gridCol w:w="144"/>
        <w:gridCol w:w="176"/>
        <w:gridCol w:w="148"/>
        <w:gridCol w:w="408"/>
        <w:gridCol w:w="168"/>
        <w:gridCol w:w="144"/>
        <w:gridCol w:w="312"/>
        <w:gridCol w:w="12"/>
        <w:gridCol w:w="29"/>
        <w:gridCol w:w="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8" w:type="dxa"/>
          <w:trHeight w:val="575" w:hRule="atLeast"/>
        </w:trPr>
        <w:tc>
          <w:tcPr>
            <w:tcW w:w="9888" w:type="dxa"/>
            <w:gridSpan w:val="3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7"/>
                <w:lang w:val="en-US" w:eastAsia="zh-CN" w:bidi="ar"/>
              </w:rPr>
              <w:t>项目支出绩效自评表</w:t>
            </w:r>
            <w:r>
              <w:rPr>
                <w:rStyle w:val="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322" w:hRule="atLeast"/>
        </w:trPr>
        <w:tc>
          <w:tcPr>
            <w:tcW w:w="9888" w:type="dxa"/>
            <w:gridSpan w:val="35"/>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35" w:hRule="atLeast"/>
        </w:trPr>
        <w:tc>
          <w:tcPr>
            <w:tcW w:w="25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32"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人代会及常委会会议经费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70" w:hRule="atLeast"/>
        </w:trPr>
        <w:tc>
          <w:tcPr>
            <w:tcW w:w="25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8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62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552" w:hRule="atLeast"/>
        </w:trPr>
        <w:tc>
          <w:tcPr>
            <w:tcW w:w="2556"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35" w:hRule="atLeast"/>
        </w:trPr>
        <w:tc>
          <w:tcPr>
            <w:tcW w:w="255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159</w:t>
            </w: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159</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35" w:hRule="atLeast"/>
        </w:trPr>
        <w:tc>
          <w:tcPr>
            <w:tcW w:w="255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其中：本年财政拨款</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01" w:hRule="atLeast"/>
        </w:trPr>
        <w:tc>
          <w:tcPr>
            <w:tcW w:w="255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8" w:type="dxa"/>
          <w:trHeight w:val="365" w:hRule="atLeast"/>
        </w:trPr>
        <w:tc>
          <w:tcPr>
            <w:tcW w:w="255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其他资金</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374" w:hRule="atLeast"/>
        </w:trPr>
        <w:tc>
          <w:tcPr>
            <w:tcW w:w="84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53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1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732" w:hRule="atLeast"/>
        </w:trPr>
        <w:tc>
          <w:tcPr>
            <w:tcW w:w="84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531"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cs="宋体"/>
                <w:color w:val="000000"/>
                <w:sz w:val="20"/>
                <w:highlight w:val="none"/>
                <w:lang w:eastAsia="zh-CN"/>
              </w:rPr>
              <w:t>保障市人代会及市人大常委会会议顺利召开。</w:t>
            </w:r>
          </w:p>
        </w:tc>
        <w:tc>
          <w:tcPr>
            <w:tcW w:w="351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670" w:hRule="atLeast"/>
        </w:trPr>
        <w:tc>
          <w:tcPr>
            <w:tcW w:w="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90"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会议次数</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召开市人代会不少于1次，召开市人大常委会不少于6次</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71"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会议质量</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会议圆满顺利召开，高质量完成既定目标任务</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510"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会议时效</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按时召开</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44"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会议费用</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159万元</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722"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不适用</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1444"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凝聚全市人民意志，行使好地方立法权；代表全市人民利益，认真做好对市“一府两院”的监督工作；权为民所用，严格行使重大事项决定权；对人民高度负责，庄严行使人事任免权。</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702"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20"/>
                <w:szCs w:val="20"/>
                <w:u w:val="none"/>
              </w:rPr>
            </w:pP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966"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1169"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人大代表满意度</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46" w:hRule="atLeast"/>
        </w:trPr>
        <w:tc>
          <w:tcPr>
            <w:tcW w:w="41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575" w:hRule="atLeast"/>
        </w:trPr>
        <w:tc>
          <w:tcPr>
            <w:tcW w:w="9888" w:type="dxa"/>
            <w:gridSpan w:val="3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7"/>
                <w:lang w:val="en-US" w:eastAsia="zh-CN" w:bidi="ar"/>
              </w:rPr>
              <w:t>项目支出绩效自评表</w:t>
            </w:r>
            <w:r>
              <w:rPr>
                <w:rStyle w:val="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322" w:hRule="atLeast"/>
        </w:trPr>
        <w:tc>
          <w:tcPr>
            <w:tcW w:w="9888" w:type="dxa"/>
            <w:gridSpan w:val="35"/>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35" w:hRule="atLeast"/>
        </w:trPr>
        <w:tc>
          <w:tcPr>
            <w:tcW w:w="25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32"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代表经费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70" w:hRule="atLeast"/>
        </w:trPr>
        <w:tc>
          <w:tcPr>
            <w:tcW w:w="25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8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62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552" w:hRule="atLeast"/>
        </w:trPr>
        <w:tc>
          <w:tcPr>
            <w:tcW w:w="2556"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35" w:hRule="atLeast"/>
        </w:trPr>
        <w:tc>
          <w:tcPr>
            <w:tcW w:w="255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35" w:hRule="atLeast"/>
        </w:trPr>
        <w:tc>
          <w:tcPr>
            <w:tcW w:w="255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其中：本年财政拨款</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01" w:hRule="atLeast"/>
        </w:trPr>
        <w:tc>
          <w:tcPr>
            <w:tcW w:w="255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365" w:hRule="atLeast"/>
        </w:trPr>
        <w:tc>
          <w:tcPr>
            <w:tcW w:w="255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其他资金</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374" w:hRule="atLeast"/>
        </w:trPr>
        <w:tc>
          <w:tcPr>
            <w:tcW w:w="84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53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1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732" w:hRule="atLeast"/>
        </w:trPr>
        <w:tc>
          <w:tcPr>
            <w:tcW w:w="84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531"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加强代表培训，提高代表履职能力，组织代表检查、视察活动，支持和保障代表依法履职，提高监督质量和成效。</w:t>
            </w:r>
          </w:p>
        </w:tc>
        <w:tc>
          <w:tcPr>
            <w:tcW w:w="351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670" w:hRule="atLeast"/>
        </w:trPr>
        <w:tc>
          <w:tcPr>
            <w:tcW w:w="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90"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代表人数</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省代表42人、市代表383人</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90"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代表培训</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组织代表培训，提升履职能力</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510"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履职补助发放时效</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及时发放履职补助</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44"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费用总额</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132万元</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722"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不适用</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1074"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支持和保障代表依法履职，提高监督质量和成效。</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702"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20"/>
                <w:szCs w:val="20"/>
                <w:u w:val="none"/>
              </w:rPr>
            </w:pP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966"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1169" w:hRule="atLeast"/>
        </w:trPr>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人大代表满意度</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8" w:type="dxa"/>
          <w:trHeight w:val="446" w:hRule="atLeast"/>
        </w:trPr>
        <w:tc>
          <w:tcPr>
            <w:tcW w:w="41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22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528" w:hRule="atLeast"/>
        </w:trPr>
        <w:tc>
          <w:tcPr>
            <w:tcW w:w="9876" w:type="dxa"/>
            <w:gridSpan w:val="3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r>
              <w:rPr>
                <w:rFonts w:hint="eastAsia" w:ascii="宋体" w:hAnsi="宋体" w:eastAsia="宋体" w:cs="宋体"/>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351" w:hRule="atLeast"/>
        </w:trPr>
        <w:tc>
          <w:tcPr>
            <w:tcW w:w="9876" w:type="dxa"/>
            <w:gridSpan w:val="35"/>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402" w:hRule="atLeast"/>
        </w:trPr>
        <w:tc>
          <w:tcPr>
            <w:tcW w:w="26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2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立法资料库、立法经费及立法第三方评估费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452" w:hRule="atLeast"/>
        </w:trPr>
        <w:tc>
          <w:tcPr>
            <w:tcW w:w="26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9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5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518" w:hRule="atLeast"/>
        </w:trPr>
        <w:tc>
          <w:tcPr>
            <w:tcW w:w="2676"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296" w:hRule="atLeast"/>
        </w:trPr>
        <w:tc>
          <w:tcPr>
            <w:tcW w:w="267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296" w:hRule="atLeast"/>
        </w:trPr>
        <w:tc>
          <w:tcPr>
            <w:tcW w:w="267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其中：本年财政拨款</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320" w:hRule="atLeast"/>
        </w:trPr>
        <w:tc>
          <w:tcPr>
            <w:tcW w:w="267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308" w:hRule="atLeast"/>
        </w:trPr>
        <w:tc>
          <w:tcPr>
            <w:tcW w:w="267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362" w:hRule="atLeast"/>
        </w:trPr>
        <w:tc>
          <w:tcPr>
            <w:tcW w:w="1142" w:type="dxa"/>
            <w:gridSpan w:val="4"/>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4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30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4" w:type="dxa"/>
          <w:wAfter w:w="29" w:type="dxa"/>
          <w:trHeight w:val="683" w:hRule="atLeast"/>
        </w:trPr>
        <w:tc>
          <w:tcPr>
            <w:tcW w:w="114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34"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紧扣党的二十大关于法治中国建设的部署要求，立足务实管用，突出抓好关乎民生福祉的“小切口”立法，不断增强立法的针对性、适用性、可操作性。</w:t>
            </w:r>
          </w:p>
        </w:tc>
        <w:tc>
          <w:tcPr>
            <w:tcW w:w="3300" w:type="dxa"/>
            <w:gridSpan w:val="1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758" w:hRule="atLeast"/>
        </w:trPr>
        <w:tc>
          <w:tcPr>
            <w:tcW w:w="114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558" w:hRule="atLeast"/>
        </w:trPr>
        <w:tc>
          <w:tcPr>
            <w:tcW w:w="11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立法调研次数</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644" w:hRule="atLeast"/>
        </w:trPr>
        <w:tc>
          <w:tcPr>
            <w:tcW w:w="11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立法质量</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务实管用</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582" w:hRule="atLeast"/>
        </w:trPr>
        <w:tc>
          <w:tcPr>
            <w:tcW w:w="11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时效性</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依照立法计划实施</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508" w:hRule="atLeast"/>
        </w:trPr>
        <w:tc>
          <w:tcPr>
            <w:tcW w:w="11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不少于15万元</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676" w:hRule="atLeast"/>
        </w:trPr>
        <w:tc>
          <w:tcPr>
            <w:tcW w:w="11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775" w:hRule="atLeast"/>
        </w:trPr>
        <w:tc>
          <w:tcPr>
            <w:tcW w:w="11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贯彻立法为民理念，汇聚民意民智，增强立法的针对性、适用性、可操作性。</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644" w:hRule="atLeast"/>
        </w:trPr>
        <w:tc>
          <w:tcPr>
            <w:tcW w:w="11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rPr>
            </w:pP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830" w:hRule="atLeast"/>
        </w:trPr>
        <w:tc>
          <w:tcPr>
            <w:tcW w:w="11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不适用</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1364" w:hRule="atLeast"/>
        </w:trPr>
        <w:tc>
          <w:tcPr>
            <w:tcW w:w="11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代表满意度</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127" w:type="dxa"/>
          <w:trHeight w:val="628" w:hRule="atLeast"/>
        </w:trPr>
        <w:tc>
          <w:tcPr>
            <w:tcW w:w="46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18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09" w:hRule="atLeast"/>
        </w:trPr>
        <w:tc>
          <w:tcPr>
            <w:tcW w:w="9700" w:type="dxa"/>
            <w:gridSpan w:val="3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7"/>
                <w:lang w:val="en-US" w:eastAsia="zh-CN" w:bidi="ar"/>
              </w:rPr>
              <w:t>项目支出绩效自评表</w:t>
            </w:r>
            <w:r>
              <w:rPr>
                <w:rStyle w:val="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05" w:hRule="atLeast"/>
        </w:trPr>
        <w:tc>
          <w:tcPr>
            <w:tcW w:w="9700" w:type="dxa"/>
            <w:gridSpan w:val="36"/>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93" w:hRule="atLeast"/>
        </w:trPr>
        <w:tc>
          <w:tcPr>
            <w:tcW w:w="2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2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评议、执法检查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19" w:hRule="atLeast"/>
        </w:trPr>
        <w:tc>
          <w:tcPr>
            <w:tcW w:w="2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8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54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19" w:hRule="atLeast"/>
        </w:trPr>
        <w:tc>
          <w:tcPr>
            <w:tcW w:w="227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14" w:hRule="atLeast"/>
        </w:trPr>
        <w:tc>
          <w:tcPr>
            <w:tcW w:w="227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458" w:hRule="atLeast"/>
        </w:trPr>
        <w:tc>
          <w:tcPr>
            <w:tcW w:w="227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其中：本年财政拨款</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93" w:hRule="atLeast"/>
        </w:trPr>
        <w:tc>
          <w:tcPr>
            <w:tcW w:w="227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14" w:hRule="atLeast"/>
        </w:trPr>
        <w:tc>
          <w:tcPr>
            <w:tcW w:w="227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其他资金</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14" w:hRule="atLeast"/>
        </w:trPr>
        <w:tc>
          <w:tcPr>
            <w:tcW w:w="616"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47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61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48" w:hRule="atLeast"/>
        </w:trPr>
        <w:tc>
          <w:tcPr>
            <w:tcW w:w="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472"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增强监督工作实效，促进“一府一委两院”依法行使职权。</w:t>
            </w:r>
          </w:p>
        </w:tc>
        <w:tc>
          <w:tcPr>
            <w:tcW w:w="3612"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923"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49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执法检查次数</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不少于3次</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78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以推动改革发展为导向增强监督工作实效</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525"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时效性</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按计划及时开展监督工作</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1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不少于3万元</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78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助力经济高质量发展</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76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促进社会民生事业进步</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9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不适用</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9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强化跟踪问效</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122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人大代表满意度</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53" w:hRule="atLeast"/>
        </w:trPr>
        <w:tc>
          <w:tcPr>
            <w:tcW w:w="32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2796" w:type="dxa"/>
            <w:gridSpan w:val="8"/>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09" w:hRule="atLeast"/>
        </w:trPr>
        <w:tc>
          <w:tcPr>
            <w:tcW w:w="9700" w:type="dxa"/>
            <w:gridSpan w:val="3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7"/>
                <w:lang w:val="en-US" w:eastAsia="zh-CN" w:bidi="ar"/>
              </w:rPr>
              <w:t>项目支出绩效自评表</w:t>
            </w:r>
            <w:r>
              <w:rPr>
                <w:rStyle w:val="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05" w:hRule="atLeast"/>
        </w:trPr>
        <w:tc>
          <w:tcPr>
            <w:tcW w:w="9700" w:type="dxa"/>
            <w:gridSpan w:val="36"/>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93" w:hRule="atLeast"/>
        </w:trPr>
        <w:tc>
          <w:tcPr>
            <w:tcW w:w="2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2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全省预算联网监督、审查费及预工委专项工作经费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482" w:hRule="atLeast"/>
        </w:trPr>
        <w:tc>
          <w:tcPr>
            <w:tcW w:w="2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8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54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19" w:hRule="atLeast"/>
        </w:trPr>
        <w:tc>
          <w:tcPr>
            <w:tcW w:w="227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14" w:hRule="atLeast"/>
        </w:trPr>
        <w:tc>
          <w:tcPr>
            <w:tcW w:w="227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458" w:hRule="atLeast"/>
        </w:trPr>
        <w:tc>
          <w:tcPr>
            <w:tcW w:w="227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其中：本年财政拨款</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93" w:hRule="atLeast"/>
        </w:trPr>
        <w:tc>
          <w:tcPr>
            <w:tcW w:w="227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14" w:hRule="atLeast"/>
        </w:trPr>
        <w:tc>
          <w:tcPr>
            <w:tcW w:w="227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其他资金</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14" w:hRule="atLeast"/>
        </w:trPr>
        <w:tc>
          <w:tcPr>
            <w:tcW w:w="616"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47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61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1824" w:hRule="atLeast"/>
        </w:trPr>
        <w:tc>
          <w:tcPr>
            <w:tcW w:w="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472"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依法对市本级预算通过和执行进行监督。年初对市本级财政预算编制情况进行审查监督，为人代会的召开做好相关准备工作；年中，对市本预、决算情况进行监督检查；年终，对市本级预算执行及下年预算编制等系列工作进行审查。承担市人民代表大会及其常委会日常的审查预决算、审查预算调整方案和监督预算执行的具体工作；承担有关财政、税收、审计等方面地方性法规草案的起草工作；承办常委会、主任会议交办的有关预算监督、财税监督、审计监督等方面的具体工作。</w:t>
            </w:r>
          </w:p>
        </w:tc>
        <w:tc>
          <w:tcPr>
            <w:tcW w:w="3612"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923"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43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审查次数</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435"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审查质量</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高质量完成审查工作任务</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95"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审查时效</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年初、年中、年末及时审查</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95"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审查经费</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≥22万元</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78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依法对市本级预算通过和执行进行监督，确保经本级人民代表大会批准的预算，非经法定程序，不得改变。</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49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5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不适用</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62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110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人大代表满意度</w:t>
            </w:r>
          </w:p>
        </w:tc>
        <w:tc>
          <w:tcPr>
            <w:tcW w:w="2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56" w:type="dxa"/>
          <w:trHeight w:val="353" w:hRule="atLeast"/>
        </w:trPr>
        <w:tc>
          <w:tcPr>
            <w:tcW w:w="32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2796" w:type="dxa"/>
            <w:gridSpan w:val="8"/>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tabs>
          <w:tab w:val="left" w:pos="3316"/>
        </w:tabs>
        <w:kinsoku/>
        <w:overflowPunct/>
        <w:topLinePunct w:val="0"/>
        <w:autoSpaceDE/>
        <w:autoSpaceDN/>
        <w:bidi w:val="0"/>
        <w:adjustRightInd w:val="0"/>
        <w:snapToGrid w:val="0"/>
        <w:spacing w:line="560" w:lineRule="exact"/>
        <w:outlineLvl w:val="0"/>
      </w:pPr>
    </w:p>
    <w:tbl>
      <w:tblPr>
        <w:tblStyle w:val="4"/>
        <w:tblW w:w="10688" w:type="dxa"/>
        <w:tblInd w:w="-4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
        <w:gridCol w:w="472"/>
        <w:gridCol w:w="60"/>
        <w:gridCol w:w="204"/>
        <w:gridCol w:w="564"/>
        <w:gridCol w:w="156"/>
        <w:gridCol w:w="960"/>
        <w:gridCol w:w="120"/>
        <w:gridCol w:w="1152"/>
        <w:gridCol w:w="359"/>
        <w:gridCol w:w="25"/>
        <w:gridCol w:w="384"/>
        <w:gridCol w:w="580"/>
        <w:gridCol w:w="48"/>
        <w:gridCol w:w="261"/>
        <w:gridCol w:w="689"/>
        <w:gridCol w:w="54"/>
        <w:gridCol w:w="240"/>
        <w:gridCol w:w="764"/>
        <w:gridCol w:w="64"/>
        <w:gridCol w:w="132"/>
        <w:gridCol w:w="132"/>
        <w:gridCol w:w="230"/>
        <w:gridCol w:w="69"/>
        <w:gridCol w:w="157"/>
        <w:gridCol w:w="72"/>
        <w:gridCol w:w="329"/>
        <w:gridCol w:w="75"/>
        <w:gridCol w:w="112"/>
        <w:gridCol w:w="120"/>
        <w:gridCol w:w="552"/>
        <w:gridCol w:w="60"/>
        <w:gridCol w:w="24"/>
        <w:gridCol w:w="108"/>
        <w:gridCol w:w="292"/>
        <w:gridCol w:w="80"/>
        <w:gridCol w:w="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188" w:type="dxa"/>
          <w:wAfter w:w="1068" w:type="dxa"/>
          <w:trHeight w:val="633" w:hRule="atLeast"/>
        </w:trPr>
        <w:tc>
          <w:tcPr>
            <w:tcW w:w="9620" w:type="dxa"/>
            <w:gridSpan w:val="3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7"/>
                <w:lang w:val="en-US" w:eastAsia="zh-CN" w:bidi="ar"/>
              </w:rPr>
              <w:t>项目支出绩效自评表</w:t>
            </w:r>
            <w:r>
              <w:rPr>
                <w:rStyle w:val="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316" w:hRule="atLeast"/>
        </w:trPr>
        <w:tc>
          <w:tcPr>
            <w:tcW w:w="9620" w:type="dxa"/>
            <w:gridSpan w:val="34"/>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460" w:hRule="atLeast"/>
        </w:trPr>
        <w:tc>
          <w:tcPr>
            <w:tcW w:w="25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08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备案审查及保密经费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343" w:hRule="atLeast"/>
        </w:trPr>
        <w:tc>
          <w:tcPr>
            <w:tcW w:w="25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4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52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43" w:hRule="atLeast"/>
        </w:trPr>
        <w:tc>
          <w:tcPr>
            <w:tcW w:w="253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326" w:hRule="atLeast"/>
        </w:trPr>
        <w:tc>
          <w:tcPr>
            <w:tcW w:w="253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43" w:hRule="atLeast"/>
        </w:trPr>
        <w:tc>
          <w:tcPr>
            <w:tcW w:w="253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其中：本年财政拨款</w:t>
            </w: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326" w:hRule="atLeast"/>
        </w:trPr>
        <w:tc>
          <w:tcPr>
            <w:tcW w:w="253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上年结转资金</w:t>
            </w: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326" w:hRule="atLeast"/>
        </w:trPr>
        <w:tc>
          <w:tcPr>
            <w:tcW w:w="253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其他资金</w:t>
            </w: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385" w:hRule="atLeast"/>
        </w:trPr>
        <w:tc>
          <w:tcPr>
            <w:tcW w:w="736"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2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8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861" w:hRule="atLeast"/>
        </w:trPr>
        <w:tc>
          <w:tcPr>
            <w:tcW w:w="73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298"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根据全国人大要求，做好法规备案审查及保密工作。</w:t>
            </w:r>
          </w:p>
        </w:tc>
        <w:tc>
          <w:tcPr>
            <w:tcW w:w="358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741" w:hRule="atLeast"/>
        </w:trPr>
        <w:tc>
          <w:tcPr>
            <w:tcW w:w="7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43"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审查数量</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依据备案数量</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43"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审查质量</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43"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审查时效</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及时审查</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28"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≥15万元</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43"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rPr>
            </w:pP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rPr>
            </w:pP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43"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高质量完成法规备案审查及保密工作任务。</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43"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不适用</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643"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eastAsia="zh-CN"/>
              </w:rPr>
            </w:pP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eastAsia="zh-CN"/>
              </w:rPr>
            </w:pP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1038"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88" w:type="dxa"/>
          <w:wAfter w:w="1068" w:type="dxa"/>
          <w:trHeight w:val="337" w:hRule="atLeast"/>
        </w:trPr>
        <w:tc>
          <w:tcPr>
            <w:tcW w:w="4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1962" w:type="dxa"/>
            <w:gridSpan w:val="5"/>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609" w:hRule="atLeast"/>
        </w:trPr>
        <w:tc>
          <w:tcPr>
            <w:tcW w:w="9700" w:type="dxa"/>
            <w:gridSpan w:val="3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7"/>
                <w:lang w:val="en-US" w:eastAsia="zh-CN" w:bidi="ar"/>
              </w:rPr>
              <w:t>项目支出绩效自评表</w:t>
            </w:r>
            <w:r>
              <w:rPr>
                <w:rStyle w:val="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305" w:hRule="atLeast"/>
        </w:trPr>
        <w:tc>
          <w:tcPr>
            <w:tcW w:w="9700" w:type="dxa"/>
            <w:gridSpan w:val="35"/>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393" w:hRule="atLeast"/>
        </w:trPr>
        <w:tc>
          <w:tcPr>
            <w:tcW w:w="25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1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行政管理经费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482" w:hRule="atLeast"/>
        </w:trPr>
        <w:tc>
          <w:tcPr>
            <w:tcW w:w="25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5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54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619" w:hRule="atLeast"/>
        </w:trPr>
        <w:tc>
          <w:tcPr>
            <w:tcW w:w="253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314" w:hRule="atLeast"/>
        </w:trPr>
        <w:tc>
          <w:tcPr>
            <w:tcW w:w="253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1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458" w:hRule="atLeast"/>
        </w:trPr>
        <w:tc>
          <w:tcPr>
            <w:tcW w:w="253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其中：本年财政拨款</w:t>
            </w:r>
          </w:p>
        </w:tc>
        <w:tc>
          <w:tcPr>
            <w:tcW w:w="1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1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393" w:hRule="atLeast"/>
        </w:trPr>
        <w:tc>
          <w:tcPr>
            <w:tcW w:w="253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1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314" w:hRule="atLeast"/>
        </w:trPr>
        <w:tc>
          <w:tcPr>
            <w:tcW w:w="253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其他资金</w:t>
            </w:r>
          </w:p>
        </w:tc>
        <w:tc>
          <w:tcPr>
            <w:tcW w:w="1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314" w:hRule="atLeast"/>
        </w:trPr>
        <w:tc>
          <w:tcPr>
            <w:tcW w:w="736"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3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6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1104" w:hRule="atLeast"/>
        </w:trPr>
        <w:tc>
          <w:tcPr>
            <w:tcW w:w="73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352"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根据《中华人民共和国地方各级人民代表大会和地方各级人民政府组织法》及实际工作需要，用以保障全国人大执法检查，省人大常委会领导、省人大各工委室负责同志不定期调研，外地市人大常委会领导来淮调研，工委室会议、招商以及驻会委员日常办公等。</w:t>
            </w:r>
          </w:p>
        </w:tc>
        <w:tc>
          <w:tcPr>
            <w:tcW w:w="3612"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923" w:hRule="atLeast"/>
        </w:trPr>
        <w:tc>
          <w:tcPr>
            <w:tcW w:w="7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436"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迎接调研及检查次数</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435"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经费保障效果</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395"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时效性</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及时保障</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395"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38万元</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451"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rPr>
            </w:pP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2018"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顺利保障迎接全国人大执法检查，省人大常委会领导、省人大各工委室负责同志不定期调研，外地市人大常委会领导来淮调研，各工委室会议、招商以及驻会委员日常办公等。</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497"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不适用</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521"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1094" w:hRule="atLeast"/>
        </w:trPr>
        <w:tc>
          <w:tcPr>
            <w:tcW w:w="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2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8" w:type="dxa"/>
          <w:wAfter w:w="77" w:type="dxa"/>
          <w:trHeight w:val="353" w:hRule="atLeast"/>
        </w:trPr>
        <w:tc>
          <w:tcPr>
            <w:tcW w:w="4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2016" w:type="dxa"/>
            <w:gridSpan w:val="6"/>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965" w:type="dxa"/>
            <w:gridSpan w:val="3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r>
              <w:rPr>
                <w:rFonts w:hint="eastAsia" w:ascii="宋体" w:hAnsi="宋体" w:eastAsia="宋体" w:cs="宋体"/>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9965" w:type="dxa"/>
            <w:gridSpan w:val="37"/>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淮南人大信息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9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8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60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5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其中：本年财政拨款</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79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44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796" w:type="dxa"/>
            <w:gridSpan w:val="1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不断提高人大信息和宣传文稿质量</w:t>
            </w:r>
          </w:p>
        </w:tc>
        <w:tc>
          <w:tcPr>
            <w:tcW w:w="3449"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信息报送量</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不少于1000条</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信息质量</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高质量信息、精品信息占比较多</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时效性</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及时报送</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不少于5万元</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进一步提升我市人大信息宣传工作水平</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代表满意度</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8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0"/>
                <w:szCs w:val="20"/>
                <w:u w:val="none"/>
              </w:rPr>
            </w:pP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3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65" w:type="dxa"/>
            <w:gridSpan w:val="3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r>
              <w:rPr>
                <w:rFonts w:hint="eastAsia" w:ascii="宋体" w:hAnsi="宋体" w:eastAsia="宋体" w:cs="宋体"/>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9965" w:type="dxa"/>
            <w:gridSpan w:val="37"/>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人大工作研究会经费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9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35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260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其中：本年财政拨款</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0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6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85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44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6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85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紧紧围绕市委、市政府中心工作，在市人大帮助指导下，确立调研项目，组织历届人大常委会组成人员开展调研，形成调研报告。每年召开一次人大工作研究会年会，分三个小组，每一个小组每半年开展2-3次调研活动，每年年末召开一次座谈会。</w:t>
            </w:r>
          </w:p>
        </w:tc>
        <w:tc>
          <w:tcPr>
            <w:tcW w:w="3449"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会议次数</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调研质量</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高质量完成调研任务</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计划性</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严格按照工作计划执行</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≥3万元</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紧紧围绕市委、市政府中心工作，在市人大帮助指导下，确立几项调研项目，组织历届人大常委会组成人员开展调研，形成调研报告。</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不适用</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工作满意度</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8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26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0"/>
                <w:szCs w:val="20"/>
                <w:u w:val="none"/>
              </w:rPr>
            </w:pP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pPr>
        <w:keepNext/>
        <w:keepLines w:val="0"/>
        <w:pageBreakBefore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44"/>
          <w:szCs w:val="24"/>
          <w:lang w:val="en-US" w:eastAsia="zh-CN"/>
        </w:rPr>
      </w:pPr>
    </w:p>
    <w:p>
      <w:pPr>
        <w:keepNext/>
        <w:keepLines w:val="0"/>
        <w:pageBreakBefore w:val="0"/>
        <w:kinsoku/>
        <w:wordWrap/>
        <w:overflowPunct/>
        <w:topLinePunct w:val="0"/>
        <w:autoSpaceDE/>
        <w:autoSpaceDN/>
        <w:bidi w:val="0"/>
        <w:adjustRightInd/>
        <w:snapToGrid/>
        <w:spacing w:line="580" w:lineRule="exact"/>
        <w:jc w:val="center"/>
        <w:textAlignment w:val="auto"/>
        <w:rPr>
          <w:rFonts w:ascii="宋体" w:hAnsi="宋体" w:eastAsia="方正小标宋简体"/>
          <w:bCs/>
          <w:sz w:val="44"/>
          <w:szCs w:val="24"/>
        </w:rPr>
      </w:pPr>
      <w:r>
        <w:rPr>
          <w:rFonts w:hint="eastAsia" w:ascii="宋体" w:hAnsi="宋体" w:eastAsia="宋体" w:cs="宋体"/>
          <w:bCs/>
          <w:sz w:val="44"/>
          <w:szCs w:val="24"/>
          <w:lang w:val="en-US" w:eastAsia="zh-CN"/>
        </w:rPr>
        <w:t>2023</w:t>
      </w:r>
      <w:r>
        <w:rPr>
          <w:rFonts w:hint="eastAsia" w:ascii="宋体" w:hAnsi="宋体" w:eastAsia="方正小标宋简体"/>
          <w:bCs/>
          <w:sz w:val="44"/>
          <w:szCs w:val="24"/>
          <w:lang w:val="en-US" w:eastAsia="zh-CN"/>
        </w:rPr>
        <w:t>年度代表经费</w:t>
      </w:r>
      <w:r>
        <w:rPr>
          <w:rFonts w:ascii="宋体" w:hAnsi="宋体" w:eastAsia="方正小标宋简体"/>
          <w:bCs/>
          <w:sz w:val="44"/>
          <w:szCs w:val="24"/>
        </w:rPr>
        <w:t>项目</w:t>
      </w:r>
      <w:r>
        <w:rPr>
          <w:rFonts w:hint="eastAsia" w:ascii="宋体" w:hAnsi="宋体" w:eastAsia="方正小标宋简体"/>
          <w:bCs/>
          <w:sz w:val="44"/>
          <w:szCs w:val="24"/>
          <w:lang w:eastAsia="zh-CN"/>
        </w:rPr>
        <w:t>绩效评价</w:t>
      </w:r>
      <w:r>
        <w:rPr>
          <w:rFonts w:ascii="宋体" w:hAnsi="宋体" w:eastAsia="方正小标宋简体"/>
          <w:bCs/>
          <w:sz w:val="44"/>
          <w:szCs w:val="24"/>
        </w:rPr>
        <w:t>报告</w:t>
      </w:r>
    </w:p>
    <w:p>
      <w:pPr>
        <w:keepNext/>
        <w:keepLines w:val="0"/>
        <w:pageBreakBefore w:val="0"/>
        <w:kinsoku/>
        <w:wordWrap/>
        <w:overflowPunct/>
        <w:topLinePunct w:val="0"/>
        <w:autoSpaceDE/>
        <w:autoSpaceDN/>
        <w:bidi w:val="0"/>
        <w:adjustRightInd/>
        <w:snapToGrid/>
        <w:spacing w:line="580" w:lineRule="exact"/>
        <w:jc w:val="center"/>
        <w:textAlignment w:val="auto"/>
        <w:rPr>
          <w:rFonts w:ascii="宋体" w:hAnsi="宋体" w:eastAsia="仿宋_GB2312"/>
          <w:bCs/>
          <w:sz w:val="32"/>
          <w:szCs w:val="32"/>
        </w:rPr>
      </w:pPr>
    </w:p>
    <w:p>
      <w:pPr>
        <w:keepNext/>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宋体" w:hAnsi="宋体" w:eastAsia="黑体"/>
          <w:sz w:val="32"/>
          <w:szCs w:val="32"/>
        </w:rPr>
      </w:pPr>
      <w:r>
        <w:rPr>
          <w:rFonts w:ascii="宋体" w:hAnsi="宋体" w:eastAsia="黑体"/>
          <w:sz w:val="32"/>
          <w:szCs w:val="32"/>
        </w:rPr>
        <w:t>一、项目基本情况</w:t>
      </w:r>
    </w:p>
    <w:p>
      <w:pPr>
        <w:keepNext/>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宋体" w:hAnsi="宋体" w:eastAsia="楷体_GB2312"/>
          <w:b w:val="0"/>
          <w:bCs/>
          <w:color w:val="000000"/>
          <w:sz w:val="32"/>
          <w:szCs w:val="32"/>
        </w:rPr>
      </w:pPr>
      <w:r>
        <w:rPr>
          <w:rFonts w:ascii="宋体" w:hAnsi="宋体" w:eastAsia="楷体_GB2312"/>
          <w:b w:val="0"/>
          <w:bCs/>
          <w:color w:val="000000"/>
          <w:sz w:val="32"/>
          <w:szCs w:val="32"/>
        </w:rPr>
        <w:t>（一）项目概况</w:t>
      </w:r>
    </w:p>
    <w:p>
      <w:pPr>
        <w:keepNext/>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b/>
          <w:bCs w:val="0"/>
          <w:snapToGrid w:val="0"/>
          <w:color w:val="000000"/>
          <w:sz w:val="32"/>
          <w:szCs w:val="32"/>
        </w:rPr>
      </w:pPr>
      <w:r>
        <w:rPr>
          <w:rFonts w:hint="eastAsia" w:ascii="宋体" w:hAnsi="宋体" w:eastAsia="仿宋_GB2312" w:cs="仿宋_GB2312"/>
          <w:b/>
          <w:bCs w:val="0"/>
          <w:sz w:val="32"/>
          <w:szCs w:val="32"/>
          <w:lang w:val="en-US" w:eastAsia="zh-CN"/>
        </w:rPr>
        <w:t>1.</w:t>
      </w:r>
      <w:r>
        <w:rPr>
          <w:rFonts w:hint="eastAsia" w:ascii="宋体" w:hAnsi="宋体" w:eastAsia="仿宋_GB2312" w:cs="仿宋_GB2312"/>
          <w:b/>
          <w:bCs w:val="0"/>
          <w:snapToGrid w:val="0"/>
          <w:color w:val="000000"/>
          <w:sz w:val="32"/>
          <w:szCs w:val="32"/>
        </w:rPr>
        <w:t>项目立项情况</w:t>
      </w:r>
    </w:p>
    <w:p>
      <w:pPr>
        <w:keepNext/>
        <w:keepLines w:val="0"/>
        <w:pageBreakBefore w:val="0"/>
        <w:kinsoku/>
        <w:wordWrap/>
        <w:overflowPunct/>
        <w:topLinePunct w:val="0"/>
        <w:autoSpaceDE/>
        <w:autoSpaceDN/>
        <w:bidi w:val="0"/>
        <w:adjustRightInd/>
        <w:snapToGrid/>
        <w:spacing w:line="580" w:lineRule="exact"/>
        <w:ind w:firstLine="646" w:firstLineChars="202"/>
        <w:textAlignment w:val="auto"/>
        <w:rPr>
          <w:rFonts w:hint="eastAsia" w:ascii="宋体" w:hAnsi="宋体" w:eastAsia="仿宋_GB2312"/>
          <w:color w:val="auto"/>
          <w:sz w:val="32"/>
          <w:szCs w:val="32"/>
        </w:rPr>
      </w:pPr>
      <w:r>
        <w:rPr>
          <w:rFonts w:ascii="宋体" w:hAnsi="宋体" w:eastAsia="仿宋_GB2312"/>
          <w:color w:val="auto"/>
          <w:sz w:val="32"/>
          <w:szCs w:val="32"/>
        </w:rPr>
        <w:t>立项背景</w:t>
      </w:r>
      <w:r>
        <w:rPr>
          <w:rFonts w:hint="eastAsia" w:ascii="宋体" w:hAnsi="宋体" w:eastAsia="仿宋_GB2312"/>
          <w:color w:val="auto"/>
          <w:sz w:val="32"/>
          <w:szCs w:val="32"/>
        </w:rPr>
        <w:t>：</w:t>
      </w:r>
      <w:r>
        <w:rPr>
          <w:rFonts w:hint="eastAsia" w:ascii="宋体" w:hAnsi="宋体" w:eastAsia="仿宋_GB2312" w:cs="仿宋_GB2312"/>
          <w:sz w:val="32"/>
          <w:szCs w:val="32"/>
        </w:rPr>
        <w:t>代表工作是人大工作的</w:t>
      </w:r>
      <w:r>
        <w:rPr>
          <w:rFonts w:hint="eastAsia" w:ascii="宋体" w:hAnsi="宋体" w:eastAsia="仿宋_GB2312" w:cs="仿宋_GB2312"/>
          <w:sz w:val="32"/>
          <w:szCs w:val="32"/>
          <w:lang w:eastAsia="zh-CN"/>
        </w:rPr>
        <w:t>基础</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代表法</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规定：国家和社会为代表执行代表职务提供保障。</w:t>
      </w:r>
    </w:p>
    <w:p>
      <w:pPr>
        <w:keepNext/>
        <w:keepLines w:val="0"/>
        <w:pageBreakBefore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仿宋_GB2312"/>
          <w:color w:val="auto"/>
          <w:sz w:val="32"/>
          <w:szCs w:val="32"/>
        </w:rPr>
      </w:pPr>
      <w:r>
        <w:rPr>
          <w:rFonts w:hint="eastAsia" w:ascii="宋体" w:hAnsi="宋体" w:eastAsia="仿宋_GB2312"/>
          <w:color w:val="auto"/>
          <w:sz w:val="32"/>
          <w:szCs w:val="32"/>
        </w:rPr>
        <w:t>立项依据：《中华人民共和国宪法》</w:t>
      </w:r>
      <w:r>
        <w:rPr>
          <w:rFonts w:hint="eastAsia" w:ascii="宋体" w:hAnsi="宋体" w:eastAsia="仿宋_GB2312"/>
          <w:color w:val="auto"/>
          <w:sz w:val="32"/>
          <w:szCs w:val="32"/>
          <w:lang w:eastAsia="zh-CN"/>
        </w:rPr>
        <w:t>《中华人民共和国全国人民代表大会和地方各级人民代表大会代表法》。</w:t>
      </w:r>
    </w:p>
    <w:p>
      <w:pPr>
        <w:keepNext/>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rPr>
        <w:t>主要内容：</w:t>
      </w:r>
      <w:r>
        <w:rPr>
          <w:rFonts w:hint="eastAsia" w:ascii="宋体" w:hAnsi="宋体" w:eastAsia="仿宋_GB2312" w:cs="仿宋_GB2312"/>
          <w:sz w:val="32"/>
          <w:szCs w:val="32"/>
          <w:lang w:eastAsia="zh-CN"/>
        </w:rPr>
        <w:t>加强对代表的初任培训、履职培训和专题培训，支持代表做好会议期间工作、参加闭会期间活动，</w:t>
      </w:r>
      <w:r>
        <w:rPr>
          <w:rFonts w:hint="eastAsia" w:ascii="宋体" w:hAnsi="宋体" w:eastAsia="仿宋_GB2312" w:cs="仿宋_GB2312"/>
          <w:sz w:val="32"/>
          <w:szCs w:val="32"/>
        </w:rPr>
        <w:t>更好发挥人大代表作用</w:t>
      </w:r>
      <w:r>
        <w:rPr>
          <w:rFonts w:hint="eastAsia" w:ascii="宋体" w:hAnsi="宋体" w:eastAsia="仿宋_GB2312" w:cs="仿宋_GB2312"/>
          <w:sz w:val="32"/>
          <w:szCs w:val="32"/>
          <w:lang w:eastAsia="zh-CN"/>
        </w:rPr>
        <w:t>。</w:t>
      </w:r>
    </w:p>
    <w:p>
      <w:pPr>
        <w:keepNext/>
        <w:keepLines w:val="0"/>
        <w:pageBreakBefore w:val="0"/>
        <w:kinsoku/>
        <w:wordWrap/>
        <w:overflowPunct/>
        <w:topLinePunct w:val="0"/>
        <w:autoSpaceDE/>
        <w:autoSpaceDN/>
        <w:bidi w:val="0"/>
        <w:adjustRightInd/>
        <w:snapToGrid/>
        <w:spacing w:line="580" w:lineRule="exact"/>
        <w:ind w:firstLine="646" w:firstLineChars="202"/>
        <w:textAlignment w:val="auto"/>
        <w:rPr>
          <w:rFonts w:ascii="宋体" w:hAnsi="宋体" w:eastAsia="仿宋_GB2312"/>
          <w:color w:val="auto"/>
          <w:sz w:val="32"/>
          <w:szCs w:val="32"/>
        </w:rPr>
      </w:pPr>
      <w:r>
        <w:rPr>
          <w:rFonts w:hint="eastAsia" w:ascii="宋体" w:hAnsi="宋体" w:eastAsia="仿宋_GB2312"/>
          <w:color w:val="auto"/>
          <w:sz w:val="32"/>
          <w:szCs w:val="32"/>
          <w:lang w:eastAsia="zh-CN"/>
        </w:rPr>
        <w:t>年度预算安排</w:t>
      </w:r>
      <w:r>
        <w:rPr>
          <w:rFonts w:hint="eastAsia" w:ascii="宋体" w:hAnsi="宋体" w:eastAsia="仿宋_GB2312"/>
          <w:color w:val="auto"/>
          <w:sz w:val="32"/>
          <w:szCs w:val="32"/>
        </w:rPr>
        <w:t>：</w:t>
      </w:r>
      <w:r>
        <w:rPr>
          <w:rFonts w:hint="eastAsia" w:ascii="宋体" w:hAnsi="宋体" w:eastAsia="仿宋_GB2312"/>
          <w:color w:val="auto"/>
          <w:sz w:val="32"/>
          <w:szCs w:val="32"/>
          <w:lang w:val="en-US" w:eastAsia="zh-CN"/>
        </w:rPr>
        <w:t>132</w:t>
      </w:r>
      <w:r>
        <w:rPr>
          <w:rFonts w:hint="eastAsia" w:ascii="宋体" w:hAnsi="宋体" w:eastAsia="仿宋_GB2312"/>
          <w:color w:val="auto"/>
          <w:sz w:val="32"/>
          <w:szCs w:val="32"/>
        </w:rPr>
        <w:t>万元</w:t>
      </w:r>
    </w:p>
    <w:p>
      <w:pPr>
        <w:keepNext/>
        <w:keepLines w:val="0"/>
        <w:pageBreakBefore w:val="0"/>
        <w:kinsoku/>
        <w:wordWrap/>
        <w:overflowPunct/>
        <w:topLinePunct w:val="0"/>
        <w:autoSpaceDE/>
        <w:autoSpaceDN/>
        <w:bidi w:val="0"/>
        <w:adjustRightInd/>
        <w:snapToGrid/>
        <w:spacing w:line="580" w:lineRule="exact"/>
        <w:ind w:firstLine="646" w:firstLineChars="202"/>
        <w:textAlignment w:val="auto"/>
        <w:rPr>
          <w:rFonts w:ascii="宋体" w:hAnsi="宋体" w:eastAsia="仿宋_GB2312"/>
          <w:color w:val="auto"/>
          <w:sz w:val="32"/>
          <w:szCs w:val="32"/>
        </w:rPr>
      </w:pPr>
      <w:r>
        <w:rPr>
          <w:rFonts w:ascii="宋体" w:hAnsi="宋体" w:eastAsia="仿宋_GB2312"/>
          <w:color w:val="auto"/>
          <w:sz w:val="32"/>
          <w:szCs w:val="32"/>
        </w:rPr>
        <w:t>资金类型</w:t>
      </w:r>
      <w:r>
        <w:rPr>
          <w:rFonts w:hint="eastAsia" w:ascii="宋体" w:hAnsi="宋体" w:eastAsia="仿宋_GB2312"/>
          <w:color w:val="auto"/>
          <w:sz w:val="32"/>
          <w:szCs w:val="32"/>
        </w:rPr>
        <w:t>：</w:t>
      </w:r>
      <w:r>
        <w:rPr>
          <w:rFonts w:ascii="宋体" w:hAnsi="宋体" w:eastAsia="仿宋_GB2312"/>
          <w:color w:val="auto"/>
          <w:sz w:val="32"/>
          <w:szCs w:val="32"/>
        </w:rPr>
        <w:t>财政资金</w:t>
      </w:r>
    </w:p>
    <w:p>
      <w:pPr>
        <w:keepNext/>
        <w:keepLines w:val="0"/>
        <w:pageBreakBefore w:val="0"/>
        <w:kinsoku/>
        <w:wordWrap/>
        <w:overflowPunct/>
        <w:topLinePunct w:val="0"/>
        <w:autoSpaceDE/>
        <w:autoSpaceDN/>
        <w:bidi w:val="0"/>
        <w:adjustRightInd/>
        <w:snapToGrid/>
        <w:spacing w:line="580" w:lineRule="exact"/>
        <w:ind w:firstLine="627" w:firstLineChars="196"/>
        <w:textAlignment w:val="auto"/>
        <w:rPr>
          <w:rFonts w:ascii="宋体" w:hAnsi="宋体" w:eastAsia="仿宋"/>
          <w:color w:val="auto"/>
          <w:sz w:val="32"/>
          <w:szCs w:val="32"/>
        </w:rPr>
      </w:pPr>
      <w:r>
        <w:rPr>
          <w:rFonts w:ascii="宋体" w:hAnsi="宋体" w:eastAsia="仿宋_GB2312"/>
          <w:color w:val="auto"/>
          <w:sz w:val="32"/>
          <w:szCs w:val="32"/>
        </w:rPr>
        <w:t>实施周期</w:t>
      </w:r>
      <w:r>
        <w:rPr>
          <w:rFonts w:hint="eastAsia" w:ascii="宋体" w:hAnsi="宋体" w:eastAsia="仿宋_GB2312"/>
          <w:color w:val="auto"/>
          <w:sz w:val="32"/>
          <w:szCs w:val="32"/>
        </w:rPr>
        <w:t>：</w:t>
      </w:r>
      <w:r>
        <w:rPr>
          <w:rFonts w:ascii="宋体" w:hAnsi="宋体" w:eastAsia="仿宋"/>
          <w:color w:val="auto"/>
          <w:sz w:val="32"/>
          <w:szCs w:val="32"/>
        </w:rPr>
        <w:t>20</w:t>
      </w:r>
      <w:r>
        <w:rPr>
          <w:rFonts w:hint="eastAsia" w:ascii="宋体" w:hAnsi="宋体" w:eastAsia="仿宋"/>
          <w:color w:val="auto"/>
          <w:sz w:val="32"/>
          <w:szCs w:val="32"/>
        </w:rPr>
        <w:t>2</w:t>
      </w:r>
      <w:r>
        <w:rPr>
          <w:rFonts w:hint="eastAsia" w:ascii="宋体" w:hAnsi="宋体" w:eastAsia="仿宋"/>
          <w:color w:val="auto"/>
          <w:sz w:val="32"/>
          <w:szCs w:val="32"/>
          <w:lang w:val="en-US" w:eastAsia="zh-CN"/>
        </w:rPr>
        <w:t>3</w:t>
      </w:r>
      <w:r>
        <w:rPr>
          <w:rFonts w:ascii="宋体" w:hAnsi="宋体" w:eastAsia="仿宋"/>
          <w:color w:val="auto"/>
          <w:sz w:val="32"/>
          <w:szCs w:val="32"/>
        </w:rPr>
        <w:t>年1月1日至20</w:t>
      </w:r>
      <w:r>
        <w:rPr>
          <w:rFonts w:hint="eastAsia" w:ascii="宋体" w:hAnsi="宋体" w:eastAsia="仿宋"/>
          <w:color w:val="auto"/>
          <w:sz w:val="32"/>
          <w:szCs w:val="32"/>
          <w:lang w:val="en-US" w:eastAsia="zh-CN"/>
        </w:rPr>
        <w:t>23</w:t>
      </w:r>
      <w:r>
        <w:rPr>
          <w:rFonts w:ascii="宋体" w:hAnsi="宋体" w:eastAsia="仿宋"/>
          <w:color w:val="auto"/>
          <w:sz w:val="32"/>
          <w:szCs w:val="32"/>
        </w:rPr>
        <w:t>年12月31日</w:t>
      </w:r>
    </w:p>
    <w:p>
      <w:pPr>
        <w:keepNext/>
        <w:keepLines w:val="0"/>
        <w:pageBreakBefore w:val="0"/>
        <w:kinsoku/>
        <w:wordWrap/>
        <w:overflowPunct/>
        <w:topLinePunct w:val="0"/>
        <w:autoSpaceDE/>
        <w:autoSpaceDN/>
        <w:bidi w:val="0"/>
        <w:adjustRightInd/>
        <w:snapToGrid/>
        <w:spacing w:line="580" w:lineRule="exact"/>
        <w:ind w:firstLine="646" w:firstLineChars="202"/>
        <w:textAlignment w:val="auto"/>
        <w:rPr>
          <w:rFonts w:hint="eastAsia" w:ascii="宋体" w:hAnsi="宋体" w:eastAsia="仿宋_GB2312"/>
          <w:snapToGrid w:val="0"/>
          <w:color w:val="000000"/>
          <w:sz w:val="32"/>
          <w:szCs w:val="32"/>
          <w:lang w:eastAsia="zh-CN"/>
        </w:rPr>
      </w:pPr>
      <w:r>
        <w:rPr>
          <w:rFonts w:ascii="宋体" w:hAnsi="宋体" w:eastAsia="仿宋_GB2312"/>
          <w:color w:val="auto"/>
          <w:sz w:val="32"/>
          <w:szCs w:val="32"/>
        </w:rPr>
        <w:t>实施主管部门</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市人大常委会办公室</w:t>
      </w:r>
    </w:p>
    <w:p>
      <w:pPr>
        <w:keepNext/>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b/>
          <w:bCs w:val="0"/>
          <w:sz w:val="32"/>
          <w:szCs w:val="32"/>
          <w:lang w:val="en-US" w:eastAsia="zh-CN"/>
        </w:rPr>
      </w:pPr>
      <w:r>
        <w:rPr>
          <w:rFonts w:hint="eastAsia" w:ascii="宋体" w:hAnsi="宋体" w:eastAsia="仿宋_GB2312" w:cs="仿宋_GB2312"/>
          <w:b/>
          <w:bCs w:val="0"/>
          <w:sz w:val="32"/>
          <w:szCs w:val="32"/>
          <w:lang w:val="en-US" w:eastAsia="zh-CN"/>
        </w:rPr>
        <w:t>2.项目执行情况</w:t>
      </w:r>
    </w:p>
    <w:p>
      <w:pPr>
        <w:keepNext/>
        <w:keepLines w:val="0"/>
        <w:pageBreakBefore w:val="0"/>
        <w:kinsoku/>
        <w:wordWrap/>
        <w:overflowPunct/>
        <w:topLinePunct w:val="0"/>
        <w:autoSpaceDE/>
        <w:autoSpaceDN/>
        <w:bidi w:val="0"/>
        <w:adjustRightInd/>
        <w:snapToGrid/>
        <w:spacing w:line="580" w:lineRule="exact"/>
        <w:ind w:firstLine="646" w:firstLineChars="202"/>
        <w:textAlignment w:val="auto"/>
        <w:rPr>
          <w:rFonts w:ascii="宋体" w:hAnsi="宋体" w:eastAsia="仿宋_GB2312"/>
          <w:sz w:val="32"/>
          <w:szCs w:val="32"/>
        </w:rPr>
      </w:pPr>
      <w:r>
        <w:rPr>
          <w:rFonts w:ascii="宋体" w:hAnsi="宋体" w:eastAsia="仿宋_GB2312"/>
          <w:sz w:val="32"/>
          <w:szCs w:val="32"/>
        </w:rPr>
        <w:t>项目实施过程</w:t>
      </w:r>
      <w:r>
        <w:rPr>
          <w:rFonts w:hint="eastAsia" w:ascii="宋体" w:hAnsi="宋体" w:eastAsia="仿宋_GB2312"/>
          <w:sz w:val="32"/>
          <w:szCs w:val="32"/>
        </w:rPr>
        <w:t>：</w:t>
      </w:r>
      <w:r>
        <w:rPr>
          <w:rFonts w:hint="eastAsia" w:ascii="宋体" w:hAnsi="宋体" w:eastAsia="仿宋_GB2312"/>
          <w:sz w:val="32"/>
          <w:szCs w:val="32"/>
          <w:lang w:eastAsia="zh-CN"/>
        </w:rPr>
        <w:t>组织省、市代表参加视察、调研活动，</w:t>
      </w:r>
      <w:r>
        <w:rPr>
          <w:rFonts w:hint="eastAsia" w:ascii="宋体" w:hAnsi="宋体" w:eastAsia="仿宋_GB2312" w:cs="仿宋_GB2312"/>
          <w:sz w:val="32"/>
          <w:szCs w:val="32"/>
          <w:vertAlign w:val="baseline"/>
          <w:lang w:val="en-US" w:eastAsia="zh-CN"/>
        </w:rPr>
        <w:t>举办代表履职能力提升培训班，为代表征订报刊，及时发放市代表履职补助</w:t>
      </w:r>
      <w:r>
        <w:rPr>
          <w:rFonts w:hint="eastAsia" w:ascii="宋体" w:hAnsi="宋体" w:eastAsia="仿宋_GB2312"/>
          <w:sz w:val="32"/>
          <w:szCs w:val="32"/>
        </w:rPr>
        <w:t>。</w:t>
      </w:r>
    </w:p>
    <w:p>
      <w:pPr>
        <w:keepNext/>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宋体" w:hAnsi="宋体" w:eastAsia="仿宋_GB2312"/>
          <w:color w:val="000000"/>
          <w:sz w:val="32"/>
          <w:szCs w:val="32"/>
        </w:rPr>
      </w:pPr>
      <w:r>
        <w:rPr>
          <w:rFonts w:ascii="宋体" w:hAnsi="宋体" w:eastAsia="仿宋_GB2312"/>
          <w:color w:val="000000"/>
          <w:sz w:val="32"/>
          <w:szCs w:val="32"/>
        </w:rPr>
        <w:t>项</w:t>
      </w:r>
      <w:r>
        <w:rPr>
          <w:rFonts w:ascii="宋体" w:hAnsi="宋体" w:eastAsia="仿宋_GB2312"/>
          <w:sz w:val="32"/>
          <w:szCs w:val="32"/>
        </w:rPr>
        <w:t>目进展及任务完成情况</w:t>
      </w:r>
      <w:r>
        <w:rPr>
          <w:rFonts w:hint="eastAsia" w:ascii="宋体" w:hAnsi="宋体" w:eastAsia="仿宋_GB2312"/>
          <w:sz w:val="32"/>
          <w:szCs w:val="32"/>
        </w:rPr>
        <w:t>：按项目序时进度，</w:t>
      </w:r>
      <w:r>
        <w:rPr>
          <w:rFonts w:hint="eastAsia" w:ascii="宋体" w:hAnsi="宋体" w:eastAsia="仿宋_GB2312"/>
          <w:sz w:val="32"/>
          <w:szCs w:val="32"/>
          <w:lang w:eastAsia="zh-CN"/>
        </w:rPr>
        <w:t>已</w:t>
      </w:r>
      <w:r>
        <w:rPr>
          <w:rFonts w:hint="eastAsia" w:ascii="宋体" w:hAnsi="宋体" w:eastAsia="仿宋_GB2312"/>
          <w:sz w:val="32"/>
          <w:szCs w:val="32"/>
        </w:rPr>
        <w:t>有序完成年初各项目标任务。</w:t>
      </w:r>
    </w:p>
    <w:p>
      <w:pPr>
        <w:keepNext/>
        <w:keepLines w:val="0"/>
        <w:pageBreakBefore w:val="0"/>
        <w:kinsoku/>
        <w:wordWrap/>
        <w:overflowPunct/>
        <w:topLinePunct w:val="0"/>
        <w:autoSpaceDE/>
        <w:autoSpaceDN/>
        <w:bidi w:val="0"/>
        <w:adjustRightInd/>
        <w:snapToGrid/>
        <w:spacing w:line="580" w:lineRule="exact"/>
        <w:ind w:firstLine="646" w:firstLineChars="202"/>
        <w:textAlignment w:val="auto"/>
        <w:rPr>
          <w:rFonts w:ascii="宋体" w:hAnsi="宋体" w:eastAsia="仿宋_GB2312"/>
          <w:sz w:val="32"/>
          <w:szCs w:val="32"/>
        </w:rPr>
      </w:pPr>
      <w:r>
        <w:rPr>
          <w:rFonts w:ascii="宋体" w:hAnsi="宋体" w:eastAsia="仿宋_GB2312"/>
          <w:sz w:val="32"/>
          <w:szCs w:val="32"/>
        </w:rPr>
        <w:t>预算执行情况</w:t>
      </w:r>
      <w:r>
        <w:rPr>
          <w:rFonts w:hint="eastAsia" w:ascii="宋体" w:hAnsi="宋体" w:eastAsia="仿宋_GB2312"/>
          <w:sz w:val="32"/>
          <w:szCs w:val="32"/>
        </w:rPr>
        <w:t>：年初预算</w:t>
      </w:r>
      <w:r>
        <w:rPr>
          <w:rFonts w:hint="eastAsia" w:ascii="宋体" w:hAnsi="宋体" w:eastAsia="仿宋_GB2312"/>
          <w:sz w:val="32"/>
          <w:szCs w:val="32"/>
          <w:lang w:val="en-US" w:eastAsia="zh-CN"/>
        </w:rPr>
        <w:t>132</w:t>
      </w:r>
      <w:r>
        <w:rPr>
          <w:rFonts w:hint="eastAsia" w:ascii="宋体" w:hAnsi="宋体" w:eastAsia="仿宋_GB2312"/>
          <w:sz w:val="32"/>
          <w:szCs w:val="32"/>
        </w:rPr>
        <w:t>万元，实际全年预算</w:t>
      </w:r>
      <w:r>
        <w:rPr>
          <w:rFonts w:hint="eastAsia" w:ascii="宋体" w:hAnsi="宋体" w:eastAsia="仿宋_GB2312"/>
          <w:sz w:val="32"/>
          <w:szCs w:val="32"/>
          <w:lang w:eastAsia="zh-CN"/>
        </w:rPr>
        <w:t>数</w:t>
      </w:r>
      <w:r>
        <w:rPr>
          <w:rFonts w:hint="eastAsia" w:ascii="宋体" w:hAnsi="宋体" w:eastAsia="仿宋_GB2312"/>
          <w:sz w:val="32"/>
          <w:szCs w:val="32"/>
          <w:lang w:val="en-US" w:eastAsia="zh-CN"/>
        </w:rPr>
        <w:t>132</w:t>
      </w:r>
      <w:r>
        <w:rPr>
          <w:rFonts w:hint="eastAsia" w:ascii="宋体" w:hAnsi="宋体" w:eastAsia="仿宋_GB2312"/>
          <w:sz w:val="32"/>
          <w:szCs w:val="32"/>
        </w:rPr>
        <w:t>万元</w:t>
      </w:r>
      <w:r>
        <w:rPr>
          <w:rFonts w:hint="eastAsia" w:ascii="宋体" w:hAnsi="宋体" w:eastAsia="仿宋"/>
          <w:sz w:val="32"/>
          <w:szCs w:val="32"/>
        </w:rPr>
        <w:t>，</w:t>
      </w:r>
      <w:r>
        <w:rPr>
          <w:rFonts w:hint="eastAsia" w:ascii="宋体" w:hAnsi="宋体" w:eastAsia="仿宋_GB2312"/>
          <w:sz w:val="32"/>
          <w:szCs w:val="32"/>
        </w:rPr>
        <w:t>全年</w:t>
      </w:r>
      <w:r>
        <w:rPr>
          <w:rFonts w:hint="eastAsia" w:ascii="宋体" w:hAnsi="宋体" w:eastAsia="仿宋_GB2312"/>
          <w:sz w:val="32"/>
          <w:szCs w:val="32"/>
          <w:lang w:eastAsia="zh-CN"/>
        </w:rPr>
        <w:t>预算</w:t>
      </w:r>
      <w:r>
        <w:rPr>
          <w:rFonts w:hint="eastAsia" w:ascii="宋体" w:hAnsi="宋体" w:eastAsia="仿宋_GB2312"/>
          <w:sz w:val="32"/>
          <w:szCs w:val="32"/>
        </w:rPr>
        <w:t>执行数</w:t>
      </w:r>
      <w:r>
        <w:rPr>
          <w:rFonts w:hint="eastAsia" w:ascii="宋体" w:hAnsi="宋体" w:eastAsia="仿宋_GB2312"/>
          <w:sz w:val="32"/>
          <w:szCs w:val="32"/>
          <w:lang w:val="en-US" w:eastAsia="zh-CN"/>
        </w:rPr>
        <w:t>132</w:t>
      </w:r>
      <w:r>
        <w:rPr>
          <w:rFonts w:hint="eastAsia" w:ascii="宋体" w:hAnsi="宋体" w:eastAsia="仿宋_GB2312"/>
          <w:sz w:val="32"/>
          <w:szCs w:val="32"/>
        </w:rPr>
        <w:t>万元，预算执行率</w:t>
      </w:r>
      <w:r>
        <w:rPr>
          <w:rFonts w:hint="eastAsia" w:ascii="宋体" w:hAnsi="宋体" w:eastAsia="仿宋_GB2312"/>
          <w:sz w:val="32"/>
          <w:szCs w:val="32"/>
          <w:lang w:val="en-US" w:eastAsia="zh-CN"/>
        </w:rPr>
        <w:t>100</w:t>
      </w:r>
      <w:r>
        <w:rPr>
          <w:rFonts w:hint="eastAsia" w:ascii="宋体" w:hAnsi="宋体" w:eastAsia="仿宋_GB2312"/>
          <w:sz w:val="32"/>
          <w:szCs w:val="32"/>
        </w:rPr>
        <w:t>%。</w:t>
      </w:r>
    </w:p>
    <w:p>
      <w:pPr>
        <w:keepNext/>
        <w:keepLines w:val="0"/>
        <w:pageBreakBefore w:val="0"/>
        <w:kinsoku/>
        <w:wordWrap/>
        <w:overflowPunct/>
        <w:topLinePunct w:val="0"/>
        <w:autoSpaceDE/>
        <w:autoSpaceDN/>
        <w:bidi w:val="0"/>
        <w:adjustRightInd/>
        <w:snapToGrid/>
        <w:spacing w:line="580" w:lineRule="exact"/>
        <w:ind w:firstLine="646" w:firstLineChars="202"/>
        <w:textAlignment w:val="auto"/>
        <w:rPr>
          <w:rFonts w:ascii="宋体" w:hAnsi="宋体" w:eastAsia="仿宋_GB2312"/>
          <w:color w:val="000000"/>
          <w:sz w:val="32"/>
          <w:szCs w:val="32"/>
        </w:rPr>
      </w:pPr>
      <w:r>
        <w:rPr>
          <w:rFonts w:ascii="宋体" w:hAnsi="宋体" w:eastAsia="仿宋_GB2312"/>
          <w:sz w:val="32"/>
          <w:szCs w:val="32"/>
        </w:rPr>
        <w:t>项目资金投入和使用情况</w:t>
      </w:r>
      <w:r>
        <w:rPr>
          <w:rFonts w:hint="eastAsia" w:ascii="宋体" w:hAnsi="宋体" w:eastAsia="仿宋_GB2312"/>
          <w:sz w:val="32"/>
          <w:szCs w:val="32"/>
        </w:rPr>
        <w:t>：按照项目序时进度及年初工作计划安排，实际支出</w:t>
      </w:r>
      <w:r>
        <w:rPr>
          <w:rFonts w:hint="eastAsia" w:ascii="宋体" w:hAnsi="宋体" w:eastAsia="仿宋_GB2312"/>
          <w:sz w:val="32"/>
          <w:szCs w:val="32"/>
          <w:lang w:val="en-US" w:eastAsia="zh-CN"/>
        </w:rPr>
        <w:t>132</w:t>
      </w:r>
      <w:r>
        <w:rPr>
          <w:rFonts w:hint="eastAsia" w:ascii="宋体" w:hAnsi="宋体" w:eastAsia="仿宋_GB2312"/>
          <w:sz w:val="32"/>
          <w:szCs w:val="32"/>
        </w:rPr>
        <w:t>万元。项目资金使用符合相关财务管理制度要求，不存在截留、挤占、挪用、虚列支出等现象</w:t>
      </w:r>
      <w:r>
        <w:rPr>
          <w:rFonts w:ascii="宋体" w:hAnsi="宋体" w:eastAsia="仿宋_GB2312"/>
          <w:sz w:val="32"/>
          <w:szCs w:val="32"/>
        </w:rPr>
        <w:t>。</w:t>
      </w:r>
    </w:p>
    <w:p>
      <w:pPr>
        <w:keepNext/>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宋体" w:hAnsi="宋体" w:eastAsia="楷体_GB2312"/>
          <w:b w:val="0"/>
          <w:bCs/>
          <w:color w:val="000000"/>
          <w:sz w:val="32"/>
          <w:szCs w:val="32"/>
        </w:rPr>
      </w:pPr>
      <w:r>
        <w:rPr>
          <w:rFonts w:ascii="宋体" w:hAnsi="宋体" w:eastAsia="楷体_GB2312"/>
          <w:b w:val="0"/>
          <w:bCs/>
          <w:color w:val="000000"/>
          <w:sz w:val="32"/>
          <w:szCs w:val="32"/>
        </w:rPr>
        <w:t>（二）项目绩效目标</w:t>
      </w:r>
    </w:p>
    <w:p>
      <w:pPr>
        <w:keepNext/>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1.项目年度总体目标</w:t>
      </w:r>
    </w:p>
    <w:p>
      <w:pPr>
        <w:keepNext/>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olor w:val="auto"/>
          <w:sz w:val="32"/>
          <w:szCs w:val="32"/>
          <w:lang w:eastAsia="zh-CN"/>
        </w:rPr>
      </w:pPr>
      <w:r>
        <w:rPr>
          <w:rFonts w:hint="eastAsia" w:ascii="宋体" w:hAnsi="宋体" w:eastAsia="仿宋_GB2312" w:cs="仿宋_GB2312"/>
          <w:sz w:val="32"/>
          <w:szCs w:val="32"/>
          <w:lang w:eastAsia="zh-CN"/>
        </w:rPr>
        <w:t>申请代表经费</w:t>
      </w:r>
      <w:r>
        <w:rPr>
          <w:rFonts w:hint="eastAsia" w:ascii="宋体" w:hAnsi="宋体" w:eastAsia="仿宋_GB2312" w:cs="仿宋_GB2312"/>
          <w:sz w:val="32"/>
          <w:szCs w:val="32"/>
          <w:lang w:val="en-US" w:eastAsia="zh-CN"/>
        </w:rPr>
        <w:t>132万元，用于</w:t>
      </w:r>
      <w:r>
        <w:rPr>
          <w:rFonts w:hint="eastAsia" w:ascii="宋体" w:hAnsi="宋体" w:eastAsia="仿宋_GB2312" w:cs="仿宋_GB2312"/>
          <w:sz w:val="32"/>
          <w:szCs w:val="32"/>
          <w:lang w:eastAsia="zh-CN"/>
        </w:rPr>
        <w:t>加强代表培训，支持代表做好会议期间工作、参加闭会期间活动，支持和保障代表依法履职。</w:t>
      </w:r>
    </w:p>
    <w:p>
      <w:pPr>
        <w:keepNext/>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2.总体目标完成情况</w:t>
      </w:r>
    </w:p>
    <w:p>
      <w:pPr>
        <w:keepNext/>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坚持把代表工作作为基础性工作来抓，尊重代表主体地位，支持和保障代表依法履职，使发挥各级人大代表作用成为人民当家作主的重要体现。</w:t>
      </w:r>
    </w:p>
    <w:p>
      <w:pPr>
        <w:keepNext/>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一是</w:t>
      </w:r>
      <w:r>
        <w:rPr>
          <w:rFonts w:hint="eastAsia" w:ascii="宋体" w:hAnsi="宋体" w:eastAsia="仿宋_GB2312" w:cs="仿宋_GB2312"/>
          <w:sz w:val="32"/>
          <w:szCs w:val="32"/>
          <w:lang w:val="en-US" w:eastAsia="zh-CN"/>
        </w:rPr>
        <w:t>夯实代表履职基础。加强和改进代表学习培训工作，突出政治素质、法律法规、参政能力等方面内容，健全完善初任培训、履职培训、专题培训等多种培训机制，先后组织在淮省人大代表、市人大代表小组组长、街道人大工委主任等参加各类培训活动，累计培训省、市两级人大代表和基层人大干部280余人次。依托全国人大网络学院、代表履职通等平台，常态化开展“线上学习”活动，累计组织专题学习80期，切实提高代表履职水平。</w:t>
      </w:r>
    </w:p>
    <w:p>
      <w:pPr>
        <w:keepNext/>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二是</w:t>
      </w:r>
      <w:r>
        <w:rPr>
          <w:rFonts w:hint="eastAsia" w:ascii="宋体" w:hAnsi="宋体" w:eastAsia="仿宋_GB2312" w:cs="仿宋_GB2312"/>
          <w:sz w:val="32"/>
          <w:szCs w:val="32"/>
          <w:lang w:val="en-US" w:eastAsia="zh-CN"/>
        </w:rPr>
        <w:t>激发代表履职热情。深化“双联”工作机制，定期开展督导检查，推动“双联”工作落细落实。拓宽代表联系服务群众平台，深入推进代表活动室和代表工作站规范化建设。邀请省、市人大代表240余人次列席常委会会议、参加视察调研、执法检查等活动，扩大代表参与常委会工作的广度和深度。首次在人代会会前组织与会代表集中视察全市部分重点项目和民生工程建设情况，为代表审议工作报告、提出高质量意见建议打下良好基础。组织部分在淮全国人大代表、省人大代表赴淮安、徐州等地学习或异地视察，全市省、市两级代表小组围绕产业发展、职业教育、民生改善等开展专题调研，广泛收集民情民意，形成调研报告17篇，为推动经济社会发展积极建言献策。</w:t>
      </w:r>
    </w:p>
    <w:p>
      <w:pPr>
        <w:keepNext/>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三是</w:t>
      </w:r>
      <w:r>
        <w:rPr>
          <w:rFonts w:hint="eastAsia" w:ascii="宋体" w:hAnsi="宋体" w:eastAsia="仿宋_GB2312" w:cs="仿宋_GB2312"/>
          <w:sz w:val="32"/>
          <w:szCs w:val="32"/>
          <w:lang w:val="en-US" w:eastAsia="zh-CN"/>
        </w:rPr>
        <w:t>增强代表履职实效。扎实开展“关注民生提建议，五级代表在行动”工作，推动全市各级人大代表积极围绕经济发展、社情民意等方面提出意见建议。去年，共收到闭会建议和社情民意4.29万件，办结2.75万件，有效推动了经济社会发展和民生实事落地。创办《代表之声》，定期遴选刊发有典型性、针对性的代表建议。积极与省人大和市委工作平台对接融入，“提升凤台县文化知名度”“改善基层卫生医疗条件”等14条建议被省人大《代表之声》采纳，“加强山南中央公园绿地管理”“开展车辆乱停乱放专项整治”等27条建议被市委《民声呼应》工作平台采用。持续开展优秀议案建议评选表彰工作，优化代表建议办理网络平台建设，不断提高议案建议办理工作水平。市十七届人大三次会议期间代表提出的281件议案建议已全部办结，议案建议办理满意率和基本满意率达96.77%。</w:t>
      </w:r>
    </w:p>
    <w:p>
      <w:pPr>
        <w:keepNext/>
        <w:keepLines w:val="0"/>
        <w:pageBreakBefore w:val="0"/>
        <w:kinsoku/>
        <w:wordWrap/>
        <w:overflowPunct/>
        <w:topLinePunct w:val="0"/>
        <w:autoSpaceDE/>
        <w:autoSpaceDN/>
        <w:bidi w:val="0"/>
        <w:adjustRightInd/>
        <w:snapToGrid/>
        <w:spacing w:line="580" w:lineRule="exact"/>
        <w:ind w:firstLine="640" w:firstLineChars="200"/>
        <w:textAlignment w:val="auto"/>
        <w:rPr>
          <w:rFonts w:ascii="宋体" w:hAnsi="宋体" w:eastAsia="黑体"/>
          <w:color w:val="000000"/>
          <w:sz w:val="32"/>
          <w:szCs w:val="32"/>
        </w:rPr>
      </w:pPr>
      <w:r>
        <w:rPr>
          <w:rFonts w:ascii="宋体" w:hAnsi="宋体" w:eastAsia="黑体"/>
          <w:color w:val="000000"/>
          <w:sz w:val="32"/>
          <w:szCs w:val="32"/>
        </w:rPr>
        <w:t>二、绩效</w:t>
      </w:r>
      <w:r>
        <w:rPr>
          <w:rFonts w:hint="eastAsia" w:ascii="宋体" w:hAnsi="宋体" w:eastAsia="黑体"/>
          <w:color w:val="000000"/>
          <w:sz w:val="32"/>
          <w:szCs w:val="32"/>
        </w:rPr>
        <w:t>评价</w:t>
      </w:r>
      <w:r>
        <w:rPr>
          <w:rFonts w:ascii="宋体" w:hAnsi="宋体" w:eastAsia="黑体"/>
          <w:color w:val="000000"/>
          <w:sz w:val="32"/>
          <w:szCs w:val="32"/>
        </w:rPr>
        <w:t>结论</w:t>
      </w:r>
    </w:p>
    <w:p>
      <w:pPr>
        <w:keepNext/>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宋体" w:hAnsi="宋体" w:eastAsia="楷体_GB2312"/>
          <w:b w:val="0"/>
          <w:bCs/>
          <w:color w:val="000000"/>
          <w:sz w:val="32"/>
          <w:szCs w:val="32"/>
        </w:rPr>
      </w:pPr>
      <w:r>
        <w:rPr>
          <w:rFonts w:ascii="宋体" w:hAnsi="宋体" w:eastAsia="楷体_GB2312"/>
          <w:b w:val="0"/>
          <w:bCs/>
          <w:color w:val="000000"/>
          <w:sz w:val="32"/>
          <w:szCs w:val="32"/>
        </w:rPr>
        <w:t>（一）总体结论</w:t>
      </w:r>
    </w:p>
    <w:p>
      <w:pPr>
        <w:keepNext/>
        <w:keepLines w:val="0"/>
        <w:pageBreakBefore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olor w:val="000000"/>
          <w:sz w:val="32"/>
          <w:szCs w:val="32"/>
        </w:rPr>
      </w:pPr>
      <w:r>
        <w:rPr>
          <w:rFonts w:ascii="宋体" w:hAnsi="宋体" w:eastAsia="仿宋_GB2312"/>
          <w:sz w:val="32"/>
          <w:szCs w:val="32"/>
        </w:rPr>
        <w:t>202</w:t>
      </w:r>
      <w:r>
        <w:rPr>
          <w:rFonts w:hint="eastAsia" w:ascii="宋体" w:hAnsi="宋体" w:eastAsia="仿宋_GB2312"/>
          <w:sz w:val="32"/>
          <w:szCs w:val="32"/>
          <w:lang w:val="en-US" w:eastAsia="zh-CN"/>
        </w:rPr>
        <w:t>3</w:t>
      </w:r>
      <w:r>
        <w:rPr>
          <w:rFonts w:ascii="宋体" w:hAnsi="宋体" w:eastAsia="仿宋_GB2312"/>
          <w:sz w:val="32"/>
          <w:szCs w:val="32"/>
        </w:rPr>
        <w:t>年度</w:t>
      </w:r>
      <w:r>
        <w:rPr>
          <w:rFonts w:hint="eastAsia" w:ascii="宋体" w:hAnsi="宋体" w:eastAsia="仿宋_GB2312"/>
          <w:color w:val="000000"/>
          <w:sz w:val="32"/>
          <w:szCs w:val="32"/>
          <w:lang w:eastAsia="zh-CN"/>
        </w:rPr>
        <w:t>代表</w:t>
      </w:r>
      <w:r>
        <w:rPr>
          <w:rFonts w:hint="eastAsia" w:ascii="宋体" w:hAnsi="宋体" w:eastAsia="仿宋_GB2312"/>
          <w:color w:val="000000"/>
          <w:sz w:val="32"/>
          <w:szCs w:val="32"/>
        </w:rPr>
        <w:t>经费</w:t>
      </w:r>
      <w:r>
        <w:rPr>
          <w:rFonts w:ascii="宋体" w:hAnsi="宋体" w:eastAsia="仿宋_GB2312"/>
          <w:color w:val="000000"/>
          <w:sz w:val="32"/>
          <w:szCs w:val="32"/>
        </w:rPr>
        <w:t>项目</w:t>
      </w:r>
      <w:r>
        <w:rPr>
          <w:rFonts w:hint="eastAsia" w:ascii="宋体" w:hAnsi="宋体" w:eastAsia="仿宋_GB2312"/>
          <w:color w:val="000000"/>
          <w:sz w:val="32"/>
          <w:szCs w:val="32"/>
          <w:lang w:eastAsia="zh-CN"/>
        </w:rPr>
        <w:t>全年</w:t>
      </w:r>
      <w:r>
        <w:rPr>
          <w:rFonts w:hint="eastAsia" w:ascii="宋体" w:hAnsi="宋体" w:eastAsia="仿宋_GB2312"/>
          <w:sz w:val="32"/>
          <w:szCs w:val="32"/>
        </w:rPr>
        <w:t>预算</w:t>
      </w:r>
      <w:r>
        <w:rPr>
          <w:rFonts w:hint="eastAsia" w:ascii="宋体" w:hAnsi="宋体" w:eastAsia="仿宋_GB2312"/>
          <w:sz w:val="32"/>
          <w:szCs w:val="32"/>
          <w:lang w:eastAsia="zh-CN"/>
        </w:rPr>
        <w:t>数</w:t>
      </w:r>
      <w:r>
        <w:rPr>
          <w:rFonts w:hint="eastAsia" w:ascii="宋体" w:hAnsi="宋体" w:eastAsia="仿宋_GB2312"/>
          <w:sz w:val="32"/>
          <w:szCs w:val="32"/>
          <w:lang w:val="en-US" w:eastAsia="zh-CN"/>
        </w:rPr>
        <w:t>132</w:t>
      </w:r>
      <w:r>
        <w:rPr>
          <w:rFonts w:hint="eastAsia" w:ascii="宋体" w:hAnsi="宋体" w:eastAsia="仿宋_GB2312"/>
          <w:sz w:val="32"/>
          <w:szCs w:val="32"/>
        </w:rPr>
        <w:t>万元，全年</w:t>
      </w:r>
      <w:r>
        <w:rPr>
          <w:rFonts w:hint="eastAsia" w:ascii="宋体" w:hAnsi="宋体" w:eastAsia="仿宋_GB2312"/>
          <w:sz w:val="32"/>
          <w:szCs w:val="32"/>
          <w:lang w:eastAsia="zh-CN"/>
        </w:rPr>
        <w:t>预算</w:t>
      </w:r>
      <w:r>
        <w:rPr>
          <w:rFonts w:hint="eastAsia" w:ascii="宋体" w:hAnsi="宋体" w:eastAsia="仿宋_GB2312"/>
          <w:sz w:val="32"/>
          <w:szCs w:val="32"/>
        </w:rPr>
        <w:t>执行数</w:t>
      </w:r>
      <w:r>
        <w:rPr>
          <w:rFonts w:hint="eastAsia" w:ascii="宋体" w:hAnsi="宋体" w:eastAsia="仿宋_GB2312"/>
          <w:sz w:val="32"/>
          <w:szCs w:val="32"/>
          <w:lang w:val="en-US" w:eastAsia="zh-CN"/>
        </w:rPr>
        <w:t>132</w:t>
      </w:r>
      <w:r>
        <w:rPr>
          <w:rFonts w:hint="eastAsia" w:ascii="宋体" w:hAnsi="宋体" w:eastAsia="仿宋_GB2312"/>
          <w:sz w:val="32"/>
          <w:szCs w:val="32"/>
        </w:rPr>
        <w:t>万元，</w:t>
      </w:r>
      <w:r>
        <w:rPr>
          <w:rFonts w:hint="eastAsia" w:ascii="宋体" w:hAnsi="宋体" w:eastAsia="仿宋_GB2312"/>
          <w:sz w:val="32"/>
          <w:szCs w:val="32"/>
          <w:lang w:eastAsia="zh-CN"/>
        </w:rPr>
        <w:t>预算执行率</w:t>
      </w:r>
      <w:r>
        <w:rPr>
          <w:rFonts w:hint="eastAsia" w:ascii="宋体" w:hAnsi="宋体" w:eastAsia="仿宋_GB2312"/>
          <w:sz w:val="32"/>
          <w:szCs w:val="32"/>
          <w:lang w:val="en-US" w:eastAsia="zh-CN"/>
        </w:rPr>
        <w:t>100%。项目立项符合单位职责和相关管理规定，绩效目标设定合理，项目实施</w:t>
      </w:r>
      <w:r>
        <w:rPr>
          <w:rFonts w:ascii="宋体" w:hAnsi="宋体" w:eastAsia="仿宋_GB2312"/>
          <w:color w:val="000000"/>
          <w:sz w:val="32"/>
          <w:szCs w:val="32"/>
        </w:rPr>
        <w:t>注重成本效益和时效性，</w:t>
      </w:r>
      <w:r>
        <w:rPr>
          <w:rFonts w:hint="eastAsia" w:ascii="宋体" w:hAnsi="宋体" w:eastAsia="仿宋_GB2312"/>
          <w:color w:val="000000"/>
          <w:sz w:val="32"/>
          <w:szCs w:val="32"/>
          <w:lang w:eastAsia="zh-CN"/>
        </w:rPr>
        <w:t>较好的</w:t>
      </w:r>
      <w:r>
        <w:rPr>
          <w:rFonts w:ascii="宋体" w:hAnsi="宋体" w:eastAsia="仿宋_GB2312"/>
          <w:color w:val="000000"/>
          <w:sz w:val="32"/>
          <w:szCs w:val="32"/>
        </w:rPr>
        <w:t>完成了</w:t>
      </w:r>
      <w:r>
        <w:rPr>
          <w:rFonts w:hint="eastAsia" w:ascii="宋体" w:hAnsi="宋体" w:eastAsia="仿宋_GB2312"/>
          <w:color w:val="000000"/>
          <w:sz w:val="32"/>
          <w:szCs w:val="32"/>
          <w:lang w:eastAsia="zh-CN"/>
        </w:rPr>
        <w:t>既定目标</w:t>
      </w:r>
      <w:r>
        <w:rPr>
          <w:rFonts w:ascii="宋体" w:hAnsi="宋体" w:eastAsia="仿宋_GB2312"/>
          <w:color w:val="000000"/>
          <w:sz w:val="32"/>
          <w:szCs w:val="32"/>
        </w:rPr>
        <w:t>任务，</w:t>
      </w:r>
      <w:r>
        <w:rPr>
          <w:rFonts w:hint="eastAsia" w:ascii="宋体" w:hAnsi="宋体" w:eastAsia="仿宋_GB2312"/>
          <w:color w:val="000000"/>
          <w:sz w:val="32"/>
          <w:szCs w:val="32"/>
          <w:lang w:eastAsia="zh-CN"/>
        </w:rPr>
        <w:t>产生了良好</w:t>
      </w:r>
      <w:r>
        <w:rPr>
          <w:rFonts w:ascii="宋体" w:hAnsi="宋体" w:eastAsia="仿宋_GB2312"/>
          <w:color w:val="000000"/>
          <w:sz w:val="32"/>
          <w:szCs w:val="32"/>
        </w:rPr>
        <w:t>社会效益，达到</w:t>
      </w:r>
      <w:r>
        <w:rPr>
          <w:rFonts w:hint="eastAsia" w:ascii="宋体" w:hAnsi="宋体" w:eastAsia="仿宋_GB2312"/>
          <w:color w:val="000000"/>
          <w:sz w:val="32"/>
          <w:szCs w:val="32"/>
          <w:lang w:eastAsia="zh-CN"/>
        </w:rPr>
        <w:t>了</w:t>
      </w:r>
      <w:r>
        <w:rPr>
          <w:rFonts w:ascii="宋体" w:hAnsi="宋体" w:eastAsia="仿宋_GB2312"/>
          <w:color w:val="000000"/>
          <w:sz w:val="32"/>
          <w:szCs w:val="32"/>
        </w:rPr>
        <w:t>预期</w:t>
      </w:r>
      <w:r>
        <w:rPr>
          <w:rFonts w:hint="eastAsia" w:ascii="宋体" w:hAnsi="宋体" w:eastAsia="仿宋_GB2312"/>
          <w:color w:val="000000"/>
          <w:sz w:val="32"/>
          <w:szCs w:val="32"/>
          <w:lang w:eastAsia="zh-CN"/>
        </w:rPr>
        <w:t>绩效目标</w:t>
      </w:r>
      <w:r>
        <w:rPr>
          <w:rFonts w:ascii="宋体" w:hAnsi="宋体" w:eastAsia="仿宋_GB2312"/>
          <w:color w:val="000000"/>
          <w:sz w:val="32"/>
          <w:szCs w:val="32"/>
        </w:rPr>
        <w:t>。</w:t>
      </w:r>
    </w:p>
    <w:p>
      <w:pPr>
        <w:keepNext/>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宋体" w:hAnsi="宋体" w:eastAsia="楷体_GB2312"/>
          <w:b w:val="0"/>
          <w:bCs/>
          <w:color w:val="000000"/>
          <w:sz w:val="32"/>
          <w:szCs w:val="32"/>
        </w:rPr>
      </w:pPr>
      <w:r>
        <w:rPr>
          <w:rFonts w:ascii="宋体" w:hAnsi="宋体" w:eastAsia="楷体_GB2312"/>
          <w:b w:val="0"/>
          <w:bCs/>
          <w:color w:val="000000"/>
          <w:sz w:val="32"/>
          <w:szCs w:val="32"/>
        </w:rPr>
        <w:t>（二）</w:t>
      </w:r>
      <w:r>
        <w:rPr>
          <w:rFonts w:hint="eastAsia" w:ascii="宋体" w:hAnsi="宋体" w:eastAsia="楷体_GB2312"/>
          <w:b w:val="0"/>
          <w:bCs/>
          <w:color w:val="000000"/>
          <w:sz w:val="32"/>
          <w:szCs w:val="32"/>
        </w:rPr>
        <w:t>评价</w:t>
      </w:r>
      <w:r>
        <w:rPr>
          <w:rFonts w:ascii="宋体" w:hAnsi="宋体" w:eastAsia="楷体_GB2312"/>
          <w:b w:val="0"/>
          <w:bCs/>
          <w:color w:val="000000"/>
          <w:sz w:val="32"/>
          <w:szCs w:val="32"/>
        </w:rPr>
        <w:t>结果</w:t>
      </w:r>
    </w:p>
    <w:p>
      <w:pPr>
        <w:keepNext/>
        <w:keepLines w:val="0"/>
        <w:pageBreakBefore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olor w:val="000000"/>
          <w:sz w:val="32"/>
          <w:szCs w:val="32"/>
        </w:rPr>
      </w:pPr>
      <w:r>
        <w:rPr>
          <w:rFonts w:ascii="宋体" w:hAnsi="宋体" w:eastAsia="仿宋_GB2312"/>
          <w:color w:val="000000"/>
          <w:sz w:val="32"/>
          <w:szCs w:val="32"/>
        </w:rPr>
        <w:t>经</w:t>
      </w:r>
      <w:r>
        <w:rPr>
          <w:rFonts w:hint="eastAsia" w:ascii="宋体" w:hAnsi="宋体" w:eastAsia="仿宋_GB2312"/>
          <w:color w:val="000000"/>
          <w:sz w:val="32"/>
          <w:szCs w:val="32"/>
        </w:rPr>
        <w:t>评价</w:t>
      </w:r>
      <w:r>
        <w:rPr>
          <w:rFonts w:ascii="宋体" w:hAnsi="宋体" w:eastAsia="仿宋_GB2312"/>
          <w:color w:val="000000"/>
          <w:sz w:val="32"/>
          <w:szCs w:val="32"/>
        </w:rPr>
        <w:t>，</w:t>
      </w:r>
      <w:r>
        <w:rPr>
          <w:rFonts w:ascii="宋体" w:hAnsi="宋体" w:eastAsia="仿宋_GB2312"/>
          <w:sz w:val="32"/>
          <w:szCs w:val="32"/>
        </w:rPr>
        <w:t>202</w:t>
      </w:r>
      <w:r>
        <w:rPr>
          <w:rFonts w:hint="eastAsia" w:ascii="宋体" w:hAnsi="宋体" w:eastAsia="仿宋_GB2312"/>
          <w:sz w:val="32"/>
          <w:szCs w:val="32"/>
          <w:lang w:val="en-US" w:eastAsia="zh-CN"/>
        </w:rPr>
        <w:t>3</w:t>
      </w:r>
      <w:r>
        <w:rPr>
          <w:rFonts w:ascii="宋体" w:hAnsi="宋体" w:eastAsia="仿宋_GB2312"/>
          <w:sz w:val="32"/>
          <w:szCs w:val="32"/>
        </w:rPr>
        <w:t>年度</w:t>
      </w:r>
      <w:r>
        <w:rPr>
          <w:rFonts w:hint="eastAsia" w:ascii="宋体" w:hAnsi="宋体" w:eastAsia="仿宋_GB2312"/>
          <w:color w:val="000000"/>
          <w:sz w:val="32"/>
          <w:szCs w:val="32"/>
          <w:lang w:eastAsia="zh-CN"/>
        </w:rPr>
        <w:t>代表</w:t>
      </w:r>
      <w:r>
        <w:rPr>
          <w:rFonts w:hint="eastAsia" w:ascii="宋体" w:hAnsi="宋体" w:eastAsia="仿宋_GB2312"/>
          <w:color w:val="000000"/>
          <w:sz w:val="32"/>
          <w:szCs w:val="32"/>
        </w:rPr>
        <w:t>经费</w:t>
      </w:r>
      <w:r>
        <w:rPr>
          <w:rFonts w:ascii="宋体" w:hAnsi="宋体" w:eastAsia="仿宋_GB2312"/>
          <w:color w:val="000000"/>
          <w:sz w:val="32"/>
          <w:szCs w:val="32"/>
        </w:rPr>
        <w:t>项目综合得分为</w:t>
      </w:r>
      <w:r>
        <w:rPr>
          <w:rFonts w:hint="eastAsia" w:ascii="宋体" w:hAnsi="宋体" w:eastAsia="仿宋_GB2312"/>
          <w:color w:val="000000"/>
          <w:sz w:val="32"/>
          <w:szCs w:val="32"/>
          <w:lang w:val="en-US" w:eastAsia="zh-CN"/>
        </w:rPr>
        <w:t>100</w:t>
      </w:r>
      <w:r>
        <w:rPr>
          <w:rFonts w:ascii="宋体" w:hAnsi="宋体" w:eastAsia="仿宋_GB2312"/>
          <w:color w:val="000000"/>
          <w:sz w:val="32"/>
          <w:szCs w:val="32"/>
        </w:rPr>
        <w:t>分，</w:t>
      </w:r>
      <w:r>
        <w:rPr>
          <w:rFonts w:hint="eastAsia" w:ascii="宋体" w:hAnsi="宋体" w:eastAsia="仿宋_GB2312"/>
          <w:color w:val="000000"/>
          <w:sz w:val="32"/>
          <w:szCs w:val="32"/>
        </w:rPr>
        <w:t>评价</w:t>
      </w:r>
      <w:r>
        <w:rPr>
          <w:rFonts w:ascii="宋体" w:hAnsi="宋体" w:eastAsia="仿宋_GB2312"/>
          <w:color w:val="000000"/>
          <w:sz w:val="32"/>
          <w:szCs w:val="32"/>
        </w:rPr>
        <w:t>结果为“</w:t>
      </w:r>
      <w:r>
        <w:rPr>
          <w:rFonts w:hint="eastAsia" w:ascii="宋体" w:hAnsi="宋体" w:eastAsia="仿宋_GB2312"/>
          <w:sz w:val="32"/>
          <w:szCs w:val="32"/>
          <w:lang w:eastAsia="zh-CN"/>
        </w:rPr>
        <w:t>优</w:t>
      </w:r>
      <w:r>
        <w:rPr>
          <w:rFonts w:ascii="宋体" w:hAnsi="宋体" w:eastAsia="仿宋_GB2312"/>
          <w:color w:val="000000"/>
          <w:sz w:val="32"/>
          <w:szCs w:val="32"/>
        </w:rPr>
        <w:t>”。</w:t>
      </w:r>
    </w:p>
    <w:p>
      <w:pPr>
        <w:keepNext/>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宋体" w:hAnsi="宋体" w:eastAsia="黑体"/>
          <w:bCs/>
          <w:color w:val="auto"/>
          <w:sz w:val="32"/>
        </w:rPr>
      </w:pPr>
      <w:r>
        <w:rPr>
          <w:rFonts w:ascii="宋体" w:hAnsi="宋体" w:eastAsia="黑体"/>
          <w:bCs/>
          <w:color w:val="auto"/>
          <w:sz w:val="32"/>
        </w:rPr>
        <w:t>指标分析</w:t>
      </w:r>
    </w:p>
    <w:p>
      <w:pPr>
        <w:keepNext/>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olor w:val="auto"/>
          <w:sz w:val="32"/>
          <w:szCs w:val="32"/>
        </w:rPr>
      </w:pPr>
      <w:r>
        <w:rPr>
          <w:rFonts w:hint="eastAsia" w:ascii="宋体" w:hAnsi="宋体" w:eastAsia="仿宋_GB2312"/>
          <w:bCs/>
          <w:color w:val="auto"/>
          <w:sz w:val="32"/>
          <w:lang w:val="en-US" w:eastAsia="zh-CN"/>
        </w:rPr>
        <w:t>2023</w:t>
      </w:r>
      <w:r>
        <w:rPr>
          <w:rFonts w:ascii="宋体" w:hAnsi="宋体" w:eastAsia="仿宋_GB2312"/>
          <w:color w:val="auto"/>
          <w:sz w:val="32"/>
          <w:szCs w:val="32"/>
        </w:rPr>
        <w:t>年度</w:t>
      </w:r>
      <w:r>
        <w:rPr>
          <w:rFonts w:hint="eastAsia" w:ascii="宋体" w:hAnsi="宋体" w:eastAsia="仿宋_GB2312" w:cs="仿宋_GB2312"/>
          <w:b w:val="0"/>
          <w:bCs/>
          <w:color w:val="auto"/>
          <w:kern w:val="2"/>
          <w:sz w:val="32"/>
          <w:szCs w:val="32"/>
          <w:lang w:val="en-US" w:eastAsia="zh-CN" w:bidi="ar-SA"/>
        </w:rPr>
        <w:t>代表经费项目</w:t>
      </w:r>
      <w:r>
        <w:rPr>
          <w:rFonts w:ascii="宋体" w:hAnsi="宋体" w:eastAsia="仿宋_GB2312"/>
          <w:color w:val="auto"/>
          <w:sz w:val="32"/>
          <w:szCs w:val="32"/>
        </w:rPr>
        <w:t>绩效</w:t>
      </w:r>
      <w:r>
        <w:rPr>
          <w:rFonts w:hint="eastAsia" w:ascii="宋体" w:hAnsi="宋体" w:eastAsia="仿宋_GB2312"/>
          <w:color w:val="auto"/>
          <w:sz w:val="32"/>
          <w:szCs w:val="32"/>
          <w:lang w:eastAsia="zh-CN"/>
        </w:rPr>
        <w:t>评价</w:t>
      </w:r>
      <w:r>
        <w:rPr>
          <w:rFonts w:ascii="宋体" w:hAnsi="宋体" w:eastAsia="仿宋_GB2312"/>
          <w:color w:val="auto"/>
          <w:sz w:val="32"/>
          <w:szCs w:val="32"/>
        </w:rPr>
        <w:t>指标体系共设置</w:t>
      </w:r>
      <w:r>
        <w:rPr>
          <w:rFonts w:ascii="宋体" w:hAnsi="宋体" w:eastAsia="仿宋_GB2312"/>
          <w:bCs/>
          <w:color w:val="auto"/>
          <w:sz w:val="32"/>
        </w:rPr>
        <w:t>3</w:t>
      </w:r>
      <w:r>
        <w:rPr>
          <w:rFonts w:ascii="宋体" w:hAnsi="宋体" w:eastAsia="仿宋_GB2312"/>
          <w:color w:val="auto"/>
          <w:sz w:val="32"/>
          <w:szCs w:val="32"/>
        </w:rPr>
        <w:t>个一级指标，</w:t>
      </w:r>
      <w:r>
        <w:rPr>
          <w:rFonts w:hint="eastAsia" w:ascii="宋体" w:hAnsi="宋体" w:eastAsia="仿宋_GB2312"/>
          <w:color w:val="auto"/>
          <w:sz w:val="32"/>
          <w:szCs w:val="32"/>
          <w:lang w:val="en-US" w:eastAsia="zh-CN"/>
        </w:rPr>
        <w:t>6个</w:t>
      </w:r>
      <w:r>
        <w:rPr>
          <w:rFonts w:ascii="宋体" w:hAnsi="宋体" w:eastAsia="仿宋_GB2312"/>
          <w:color w:val="auto"/>
          <w:sz w:val="32"/>
          <w:szCs w:val="32"/>
        </w:rPr>
        <w:t>二级指标，</w:t>
      </w:r>
      <w:r>
        <w:rPr>
          <w:rFonts w:hint="eastAsia" w:ascii="宋体" w:hAnsi="宋体" w:eastAsia="仿宋_GB2312"/>
          <w:color w:val="auto"/>
          <w:sz w:val="32"/>
          <w:szCs w:val="32"/>
          <w:lang w:val="en-US" w:eastAsia="zh-CN"/>
        </w:rPr>
        <w:t>6</w:t>
      </w:r>
      <w:r>
        <w:rPr>
          <w:rFonts w:ascii="宋体" w:hAnsi="宋体" w:eastAsia="仿宋_GB2312"/>
          <w:color w:val="auto"/>
          <w:sz w:val="32"/>
          <w:szCs w:val="32"/>
        </w:rPr>
        <w:t>个三级指标，各项指标评分情况分析如下：</w:t>
      </w:r>
    </w:p>
    <w:p>
      <w:pPr>
        <w:keepNext/>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楷体_GB2312" w:cs="楷体_GB2312"/>
          <w:b w:val="0"/>
          <w:bCs w:val="0"/>
          <w:color w:val="auto"/>
          <w:sz w:val="32"/>
        </w:rPr>
      </w:pPr>
      <w:r>
        <w:rPr>
          <w:rFonts w:hint="eastAsia" w:ascii="宋体" w:hAnsi="宋体" w:eastAsia="楷体_GB2312" w:cs="楷体_GB2312"/>
          <w:b w:val="0"/>
          <w:bCs w:val="0"/>
          <w:color w:val="auto"/>
          <w:sz w:val="32"/>
        </w:rPr>
        <w:t>预算执行率（满分10分，实得</w:t>
      </w:r>
      <w:r>
        <w:rPr>
          <w:rFonts w:hint="eastAsia" w:ascii="宋体" w:hAnsi="宋体" w:eastAsia="楷体_GB2312" w:cs="楷体_GB2312"/>
          <w:b w:val="0"/>
          <w:bCs w:val="0"/>
          <w:color w:val="auto"/>
          <w:sz w:val="32"/>
          <w:lang w:val="en-US" w:eastAsia="zh-CN"/>
        </w:rPr>
        <w:t>10</w:t>
      </w:r>
      <w:r>
        <w:rPr>
          <w:rFonts w:hint="eastAsia" w:ascii="宋体" w:hAnsi="宋体" w:eastAsia="楷体_GB2312" w:cs="楷体_GB2312"/>
          <w:b w:val="0"/>
          <w:bCs w:val="0"/>
          <w:color w:val="auto"/>
          <w:sz w:val="32"/>
        </w:rPr>
        <w:t>分）</w:t>
      </w:r>
    </w:p>
    <w:p>
      <w:pPr>
        <w:keepNext/>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2023</w:t>
      </w:r>
      <w:r>
        <w:rPr>
          <w:rFonts w:hint="eastAsia" w:ascii="宋体" w:hAnsi="宋体" w:eastAsia="仿宋_GB2312" w:cs="仿宋_GB2312"/>
          <w:color w:val="auto"/>
          <w:sz w:val="32"/>
          <w:szCs w:val="32"/>
        </w:rPr>
        <w:t>年</w:t>
      </w:r>
      <w:r>
        <w:rPr>
          <w:rFonts w:hint="eastAsia" w:ascii="宋体" w:hAnsi="宋体" w:eastAsia="仿宋_GB2312" w:cs="仿宋_GB2312"/>
          <w:b w:val="0"/>
          <w:bCs/>
          <w:color w:val="auto"/>
          <w:kern w:val="2"/>
          <w:sz w:val="32"/>
          <w:szCs w:val="32"/>
          <w:lang w:val="en-US" w:eastAsia="zh-CN" w:bidi="ar-SA"/>
        </w:rPr>
        <w:t>市代表经费项目</w:t>
      </w:r>
      <w:r>
        <w:rPr>
          <w:rFonts w:hint="eastAsia" w:ascii="宋体" w:hAnsi="宋体" w:eastAsia="仿宋_GB2312" w:cs="仿宋_GB2312"/>
          <w:color w:val="auto"/>
          <w:sz w:val="32"/>
          <w:szCs w:val="32"/>
        </w:rPr>
        <w:t>全年预算安排</w:t>
      </w:r>
      <w:r>
        <w:rPr>
          <w:rFonts w:hint="eastAsia" w:ascii="宋体" w:hAnsi="宋体" w:eastAsia="仿宋_GB2312" w:cs="仿宋_GB2312"/>
          <w:b w:val="0"/>
          <w:bCs/>
          <w:color w:val="auto"/>
          <w:sz w:val="32"/>
          <w:szCs w:val="32"/>
          <w:lang w:val="en-US" w:eastAsia="zh-CN"/>
        </w:rPr>
        <w:t>132</w:t>
      </w:r>
      <w:r>
        <w:rPr>
          <w:rFonts w:hint="eastAsia" w:ascii="宋体" w:hAnsi="宋体" w:eastAsia="仿宋_GB2312" w:cs="仿宋_GB2312"/>
          <w:color w:val="auto"/>
          <w:sz w:val="32"/>
          <w:szCs w:val="32"/>
        </w:rPr>
        <w:t>万元，全年执行</w:t>
      </w:r>
      <w:r>
        <w:rPr>
          <w:rFonts w:hint="eastAsia" w:ascii="宋体" w:hAnsi="宋体" w:eastAsia="仿宋_GB2312" w:cs="仿宋_GB2312"/>
          <w:b w:val="0"/>
          <w:bCs/>
          <w:color w:val="auto"/>
          <w:sz w:val="32"/>
          <w:szCs w:val="32"/>
          <w:lang w:val="en-US" w:eastAsia="zh-CN"/>
        </w:rPr>
        <w:t>132</w:t>
      </w:r>
      <w:r>
        <w:rPr>
          <w:rFonts w:hint="eastAsia" w:ascii="宋体" w:hAnsi="宋体" w:eastAsia="仿宋_GB2312" w:cs="仿宋_GB2312"/>
          <w:color w:val="auto"/>
          <w:sz w:val="32"/>
          <w:szCs w:val="32"/>
        </w:rPr>
        <w:t>万元，预算执行率</w:t>
      </w:r>
      <w:r>
        <w:rPr>
          <w:rFonts w:hint="eastAsia" w:ascii="宋体" w:hAnsi="宋体" w:eastAsia="仿宋_GB2312" w:cs="仿宋_GB2312"/>
          <w:color w:val="auto"/>
          <w:sz w:val="32"/>
          <w:szCs w:val="32"/>
          <w:lang w:val="en-US" w:eastAsia="zh-CN"/>
        </w:rPr>
        <w:t>100</w:t>
      </w:r>
      <w:r>
        <w:rPr>
          <w:rFonts w:hint="eastAsia" w:ascii="宋体" w:hAnsi="宋体" w:eastAsia="仿宋_GB2312" w:cs="仿宋_GB2312"/>
          <w:color w:val="auto"/>
          <w:sz w:val="32"/>
          <w:szCs w:val="32"/>
        </w:rPr>
        <w:t>%，得分</w:t>
      </w:r>
      <w:r>
        <w:rPr>
          <w:rFonts w:hint="eastAsia" w:ascii="宋体" w:hAnsi="宋体" w:eastAsia="仿宋_GB2312" w:cs="仿宋_GB2312"/>
          <w:color w:val="auto"/>
          <w:sz w:val="32"/>
          <w:szCs w:val="32"/>
          <w:lang w:val="en-US" w:eastAsia="zh-CN"/>
        </w:rPr>
        <w:t>10</w:t>
      </w:r>
      <w:r>
        <w:rPr>
          <w:rFonts w:hint="eastAsia" w:ascii="宋体" w:hAnsi="宋体" w:eastAsia="仿宋_GB2312" w:cs="仿宋_GB2312"/>
          <w:color w:val="auto"/>
          <w:sz w:val="32"/>
          <w:szCs w:val="32"/>
        </w:rPr>
        <w:t>分。</w:t>
      </w:r>
    </w:p>
    <w:p>
      <w:pPr>
        <w:keepNext/>
        <w:keepLines w:val="0"/>
        <w:pageBreakBefore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b/>
          <w:bCs w:val="0"/>
          <w:color w:val="auto"/>
          <w:sz w:val="32"/>
          <w:szCs w:val="32"/>
        </w:rPr>
      </w:pPr>
      <w:r>
        <w:rPr>
          <w:rFonts w:hint="eastAsia" w:ascii="宋体" w:hAnsi="宋体" w:eastAsia="楷体_GB2312" w:cs="楷体_GB2312"/>
          <w:b w:val="0"/>
          <w:bCs w:val="0"/>
          <w:color w:val="auto"/>
          <w:sz w:val="32"/>
        </w:rPr>
        <w:t>产出指标（满分50分，实得</w:t>
      </w:r>
      <w:r>
        <w:rPr>
          <w:rFonts w:hint="eastAsia" w:ascii="宋体" w:hAnsi="宋体" w:eastAsia="楷体_GB2312" w:cs="楷体_GB2312"/>
          <w:b w:val="0"/>
          <w:bCs w:val="0"/>
          <w:color w:val="auto"/>
          <w:sz w:val="32"/>
          <w:lang w:val="en-US" w:eastAsia="zh-CN"/>
        </w:rPr>
        <w:t>50</w:t>
      </w:r>
      <w:r>
        <w:rPr>
          <w:rFonts w:hint="eastAsia" w:ascii="宋体" w:hAnsi="宋体" w:eastAsia="楷体_GB2312" w:cs="楷体_GB2312"/>
          <w:b w:val="0"/>
          <w:bCs w:val="0"/>
          <w:color w:val="auto"/>
          <w:sz w:val="32"/>
        </w:rPr>
        <w:t>分）</w:t>
      </w:r>
    </w:p>
    <w:p>
      <w:pPr>
        <w:keepNext/>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b/>
          <w:bCs w:val="0"/>
          <w:color w:val="auto"/>
          <w:sz w:val="32"/>
          <w:szCs w:val="32"/>
        </w:rPr>
      </w:pPr>
      <w:r>
        <w:rPr>
          <w:rFonts w:hint="eastAsia" w:ascii="宋体" w:hAnsi="宋体" w:eastAsia="仿宋_GB2312" w:cs="仿宋_GB2312"/>
          <w:b/>
          <w:bCs w:val="0"/>
          <w:color w:val="auto"/>
          <w:sz w:val="32"/>
          <w:lang w:val="en-US" w:eastAsia="zh-CN"/>
        </w:rPr>
        <w:t>1.</w:t>
      </w:r>
      <w:r>
        <w:rPr>
          <w:rFonts w:hint="eastAsia" w:ascii="宋体" w:hAnsi="宋体" w:eastAsia="仿宋_GB2312" w:cs="仿宋_GB2312"/>
          <w:b/>
          <w:bCs w:val="0"/>
          <w:color w:val="auto"/>
          <w:sz w:val="32"/>
        </w:rPr>
        <w:t>数量指标（满分</w:t>
      </w:r>
      <w:r>
        <w:rPr>
          <w:rFonts w:hint="eastAsia" w:ascii="宋体" w:hAnsi="宋体" w:eastAsia="仿宋_GB2312" w:cs="仿宋_GB2312"/>
          <w:b/>
          <w:bCs w:val="0"/>
          <w:color w:val="auto"/>
          <w:sz w:val="32"/>
          <w:lang w:val="en-US" w:eastAsia="zh-CN"/>
        </w:rPr>
        <w:t>10</w:t>
      </w:r>
      <w:r>
        <w:rPr>
          <w:rFonts w:hint="eastAsia" w:ascii="宋体" w:hAnsi="宋体" w:eastAsia="仿宋_GB2312" w:cs="仿宋_GB2312"/>
          <w:b/>
          <w:bCs w:val="0"/>
          <w:color w:val="auto"/>
          <w:sz w:val="32"/>
        </w:rPr>
        <w:t>分</w:t>
      </w:r>
      <w:r>
        <w:rPr>
          <w:rFonts w:hint="eastAsia" w:ascii="宋体" w:hAnsi="宋体" w:eastAsia="仿宋_GB2312" w:cs="仿宋_GB2312"/>
          <w:b/>
          <w:bCs w:val="0"/>
          <w:color w:val="auto"/>
          <w:sz w:val="32"/>
          <w:szCs w:val="32"/>
        </w:rPr>
        <w:t>，实得</w:t>
      </w:r>
      <w:r>
        <w:rPr>
          <w:rFonts w:hint="eastAsia" w:ascii="宋体" w:hAnsi="宋体" w:eastAsia="仿宋_GB2312" w:cs="仿宋_GB2312"/>
          <w:b/>
          <w:bCs w:val="0"/>
          <w:color w:val="auto"/>
          <w:sz w:val="32"/>
          <w:szCs w:val="32"/>
          <w:lang w:val="en-US" w:eastAsia="zh-CN"/>
        </w:rPr>
        <w:t>10</w:t>
      </w:r>
      <w:r>
        <w:rPr>
          <w:rFonts w:hint="eastAsia" w:ascii="宋体" w:hAnsi="宋体" w:eastAsia="仿宋_GB2312" w:cs="仿宋_GB2312"/>
          <w:b/>
          <w:bCs w:val="0"/>
          <w:color w:val="auto"/>
          <w:sz w:val="32"/>
          <w:szCs w:val="32"/>
        </w:rPr>
        <w:t>分）</w:t>
      </w:r>
    </w:p>
    <w:p>
      <w:pPr>
        <w:keepNext/>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rPr>
        <w:t>年初设定的数量指标为</w:t>
      </w:r>
      <w:r>
        <w:rPr>
          <w:rFonts w:hint="eastAsia" w:ascii="宋体" w:hAnsi="宋体" w:eastAsia="仿宋_GB2312" w:cs="仿宋_GB2312"/>
          <w:color w:val="auto"/>
          <w:sz w:val="32"/>
          <w:szCs w:val="32"/>
          <w:lang w:eastAsia="zh-CN"/>
        </w:rPr>
        <w:t>：省代表约</w:t>
      </w:r>
      <w:r>
        <w:rPr>
          <w:rFonts w:hint="eastAsia" w:ascii="宋体" w:hAnsi="宋体" w:eastAsia="仿宋_GB2312" w:cs="仿宋_GB2312"/>
          <w:color w:val="auto"/>
          <w:sz w:val="32"/>
          <w:szCs w:val="32"/>
          <w:lang w:val="en-US" w:eastAsia="zh-CN"/>
        </w:rPr>
        <w:t>40人，市代表约376人。</w:t>
      </w:r>
    </w:p>
    <w:p>
      <w:pPr>
        <w:keepNext/>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完成情况：省两会及市两会期间，省代表40人，市代表376人。</w:t>
      </w:r>
    </w:p>
    <w:p>
      <w:pPr>
        <w:pStyle w:val="10"/>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自评</w:t>
      </w:r>
      <w:r>
        <w:rPr>
          <w:rFonts w:hint="eastAsia" w:ascii="宋体" w:hAnsi="宋体" w:eastAsia="仿宋_GB2312" w:cs="仿宋_GB2312"/>
          <w:color w:val="auto"/>
          <w:sz w:val="32"/>
          <w:szCs w:val="32"/>
        </w:rPr>
        <w:t>得分</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10</w:t>
      </w:r>
      <w:r>
        <w:rPr>
          <w:rFonts w:hint="eastAsia" w:ascii="宋体" w:hAnsi="宋体" w:eastAsia="仿宋_GB2312" w:cs="仿宋_GB2312"/>
          <w:color w:val="auto"/>
          <w:sz w:val="32"/>
          <w:szCs w:val="32"/>
          <w:lang w:eastAsia="zh-CN"/>
        </w:rPr>
        <w:t>分。</w:t>
      </w:r>
    </w:p>
    <w:p>
      <w:pPr>
        <w:pStyle w:val="10"/>
        <w:keepNext/>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b/>
          <w:bCs w:val="0"/>
          <w:color w:val="auto"/>
          <w:sz w:val="32"/>
        </w:rPr>
      </w:pPr>
      <w:r>
        <w:rPr>
          <w:rFonts w:hint="eastAsia" w:ascii="宋体" w:hAnsi="宋体" w:eastAsia="仿宋_GB2312" w:cs="仿宋_GB2312"/>
          <w:b/>
          <w:bCs w:val="0"/>
          <w:color w:val="auto"/>
          <w:sz w:val="32"/>
          <w:lang w:val="en-US" w:eastAsia="zh-CN"/>
        </w:rPr>
        <w:t>2.</w:t>
      </w:r>
      <w:r>
        <w:rPr>
          <w:rFonts w:hint="eastAsia" w:ascii="宋体" w:hAnsi="宋体" w:eastAsia="仿宋_GB2312" w:cs="仿宋_GB2312"/>
          <w:b/>
          <w:bCs w:val="0"/>
          <w:color w:val="auto"/>
          <w:sz w:val="32"/>
        </w:rPr>
        <w:t>质量指标（满分</w:t>
      </w:r>
      <w:r>
        <w:rPr>
          <w:rFonts w:hint="eastAsia" w:ascii="宋体" w:hAnsi="宋体" w:eastAsia="仿宋_GB2312" w:cs="仿宋_GB2312"/>
          <w:b/>
          <w:bCs w:val="0"/>
          <w:color w:val="auto"/>
          <w:sz w:val="32"/>
          <w:lang w:val="en-US" w:eastAsia="zh-CN"/>
        </w:rPr>
        <w:t>15</w:t>
      </w:r>
      <w:r>
        <w:rPr>
          <w:rFonts w:hint="eastAsia" w:ascii="宋体" w:hAnsi="宋体" w:eastAsia="仿宋_GB2312" w:cs="仿宋_GB2312"/>
          <w:b/>
          <w:bCs w:val="0"/>
          <w:color w:val="auto"/>
          <w:sz w:val="32"/>
        </w:rPr>
        <w:t>分，实得</w:t>
      </w:r>
      <w:r>
        <w:rPr>
          <w:rFonts w:hint="eastAsia" w:ascii="宋体" w:hAnsi="宋体" w:eastAsia="仿宋_GB2312" w:cs="仿宋_GB2312"/>
          <w:b/>
          <w:bCs w:val="0"/>
          <w:color w:val="auto"/>
          <w:sz w:val="32"/>
          <w:lang w:val="en-US" w:eastAsia="zh-CN"/>
        </w:rPr>
        <w:t>15</w:t>
      </w:r>
      <w:r>
        <w:rPr>
          <w:rFonts w:hint="eastAsia" w:ascii="宋体" w:hAnsi="宋体" w:eastAsia="仿宋_GB2312" w:cs="仿宋_GB2312"/>
          <w:b/>
          <w:bCs w:val="0"/>
          <w:color w:val="auto"/>
          <w:sz w:val="32"/>
        </w:rPr>
        <w:t>分）</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年初设定的</w:t>
      </w:r>
      <w:r>
        <w:rPr>
          <w:rFonts w:hint="eastAsia" w:ascii="宋体" w:hAnsi="宋体" w:eastAsia="仿宋_GB2312" w:cs="仿宋_GB2312"/>
          <w:color w:val="auto"/>
          <w:sz w:val="32"/>
          <w:szCs w:val="32"/>
          <w:lang w:eastAsia="zh-CN"/>
        </w:rPr>
        <w:t>质量</w:t>
      </w:r>
      <w:r>
        <w:rPr>
          <w:rFonts w:hint="eastAsia" w:ascii="宋体" w:hAnsi="宋体" w:eastAsia="仿宋_GB2312" w:cs="仿宋_GB2312"/>
          <w:color w:val="auto"/>
          <w:sz w:val="32"/>
          <w:szCs w:val="32"/>
        </w:rPr>
        <w:t>指标为</w:t>
      </w:r>
      <w:r>
        <w:rPr>
          <w:rFonts w:hint="eastAsia" w:ascii="宋体" w:hAnsi="宋体" w:eastAsia="仿宋_GB2312" w:cs="仿宋_GB2312"/>
          <w:color w:val="auto"/>
          <w:sz w:val="32"/>
          <w:szCs w:val="32"/>
          <w:lang w:eastAsia="zh-CN"/>
        </w:rPr>
        <w:t>：高质量完成代表培训工作。</w:t>
      </w:r>
    </w:p>
    <w:p>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eastAsia="zh-CN"/>
        </w:rPr>
        <w:t>完成情况：</w:t>
      </w:r>
      <w:r>
        <w:rPr>
          <w:rFonts w:hint="eastAsia" w:ascii="宋体" w:hAnsi="宋体" w:eastAsia="仿宋_GB2312" w:cs="仿宋_GB2312"/>
          <w:color w:val="auto"/>
          <w:sz w:val="32"/>
          <w:szCs w:val="32"/>
          <w:lang w:val="en-US" w:eastAsia="zh-CN"/>
        </w:rPr>
        <w:t>2023年4月10日—13日，举办市人大代表小组长、街道人大工委主任履职能力提升培训班。2023年7月17日—21日，举办市人大常委会组成人员、各县区人大常委会主任履职能力提升培训班。</w:t>
      </w:r>
    </w:p>
    <w:p>
      <w:pPr>
        <w:pStyle w:val="10"/>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val="en-US" w:eastAsia="zh-CN"/>
        </w:rPr>
        <w:t>自评</w:t>
      </w:r>
      <w:r>
        <w:rPr>
          <w:rFonts w:hint="eastAsia" w:ascii="宋体" w:hAnsi="宋体" w:eastAsia="仿宋_GB2312" w:cs="仿宋_GB2312"/>
          <w:color w:val="auto"/>
          <w:sz w:val="32"/>
          <w:szCs w:val="32"/>
        </w:rPr>
        <w:t>得分</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15</w:t>
      </w:r>
      <w:r>
        <w:rPr>
          <w:rFonts w:hint="eastAsia" w:ascii="宋体" w:hAnsi="宋体" w:eastAsia="仿宋_GB2312" w:cs="仿宋_GB2312"/>
          <w:color w:val="auto"/>
          <w:sz w:val="32"/>
          <w:szCs w:val="32"/>
        </w:rPr>
        <w:t>分</w:t>
      </w:r>
      <w:r>
        <w:rPr>
          <w:rFonts w:hint="eastAsia" w:ascii="宋体" w:hAnsi="宋体" w:eastAsia="仿宋_GB2312" w:cs="仿宋_GB2312"/>
          <w:color w:val="auto"/>
          <w:sz w:val="32"/>
          <w:szCs w:val="32"/>
          <w:lang w:eastAsia="zh-CN"/>
        </w:rPr>
        <w:t>。</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b/>
          <w:bCs w:val="0"/>
          <w:color w:val="auto"/>
          <w:sz w:val="32"/>
          <w:szCs w:val="32"/>
        </w:rPr>
      </w:pPr>
      <w:r>
        <w:rPr>
          <w:rFonts w:hint="eastAsia" w:ascii="宋体" w:hAnsi="宋体" w:eastAsia="仿宋_GB2312" w:cs="仿宋_GB2312"/>
          <w:b/>
          <w:bCs w:val="0"/>
          <w:color w:val="auto"/>
          <w:sz w:val="32"/>
        </w:rPr>
        <w:t>3.时效指标（满分</w:t>
      </w:r>
      <w:r>
        <w:rPr>
          <w:rFonts w:hint="eastAsia" w:ascii="宋体" w:hAnsi="宋体" w:eastAsia="仿宋_GB2312" w:cs="仿宋_GB2312"/>
          <w:b/>
          <w:bCs w:val="0"/>
          <w:color w:val="auto"/>
          <w:sz w:val="32"/>
          <w:lang w:val="en-US" w:eastAsia="zh-CN"/>
        </w:rPr>
        <w:t>15</w:t>
      </w:r>
      <w:r>
        <w:rPr>
          <w:rFonts w:hint="eastAsia" w:ascii="宋体" w:hAnsi="宋体" w:eastAsia="仿宋_GB2312" w:cs="仿宋_GB2312"/>
          <w:b/>
          <w:bCs w:val="0"/>
          <w:color w:val="auto"/>
          <w:sz w:val="32"/>
        </w:rPr>
        <w:t>分</w:t>
      </w:r>
      <w:r>
        <w:rPr>
          <w:rFonts w:hint="eastAsia" w:ascii="宋体" w:hAnsi="宋体" w:eastAsia="仿宋_GB2312" w:cs="仿宋_GB2312"/>
          <w:b/>
          <w:bCs w:val="0"/>
          <w:color w:val="auto"/>
          <w:sz w:val="32"/>
          <w:szCs w:val="32"/>
        </w:rPr>
        <w:t>，实得</w:t>
      </w:r>
      <w:r>
        <w:rPr>
          <w:rFonts w:hint="eastAsia" w:ascii="宋体" w:hAnsi="宋体" w:eastAsia="仿宋_GB2312" w:cs="仿宋_GB2312"/>
          <w:b/>
          <w:bCs w:val="0"/>
          <w:color w:val="auto"/>
          <w:sz w:val="32"/>
          <w:szCs w:val="32"/>
          <w:lang w:val="en-US" w:eastAsia="zh-CN"/>
        </w:rPr>
        <w:t>15</w:t>
      </w:r>
      <w:r>
        <w:rPr>
          <w:rFonts w:hint="eastAsia" w:ascii="宋体" w:hAnsi="宋体" w:eastAsia="仿宋_GB2312" w:cs="仿宋_GB2312"/>
          <w:b/>
          <w:bCs w:val="0"/>
          <w:color w:val="auto"/>
          <w:sz w:val="32"/>
          <w:szCs w:val="32"/>
        </w:rPr>
        <w:t>分）</w:t>
      </w:r>
    </w:p>
    <w:p>
      <w:pPr>
        <w:pStyle w:val="10"/>
        <w:keepNext/>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年初设定的</w:t>
      </w:r>
      <w:r>
        <w:rPr>
          <w:rFonts w:hint="eastAsia" w:ascii="宋体" w:hAnsi="宋体" w:eastAsia="仿宋_GB2312" w:cs="仿宋_GB2312"/>
          <w:color w:val="auto"/>
          <w:sz w:val="32"/>
          <w:szCs w:val="32"/>
          <w:lang w:eastAsia="zh-CN"/>
        </w:rPr>
        <w:t>时效</w:t>
      </w:r>
      <w:r>
        <w:rPr>
          <w:rFonts w:hint="eastAsia" w:ascii="宋体" w:hAnsi="宋体" w:eastAsia="仿宋_GB2312" w:cs="仿宋_GB2312"/>
          <w:color w:val="auto"/>
          <w:sz w:val="32"/>
          <w:szCs w:val="32"/>
        </w:rPr>
        <w:t>指标为</w:t>
      </w:r>
      <w:r>
        <w:rPr>
          <w:rFonts w:hint="eastAsia" w:ascii="宋体" w:hAnsi="宋体" w:eastAsia="仿宋_GB2312" w:cs="仿宋_GB2312"/>
          <w:color w:val="auto"/>
          <w:sz w:val="32"/>
          <w:szCs w:val="32"/>
          <w:lang w:eastAsia="zh-CN"/>
        </w:rPr>
        <w:t>：及时发放代表履职补助。</w:t>
      </w:r>
    </w:p>
    <w:p>
      <w:pPr>
        <w:pStyle w:val="10"/>
        <w:keepNext/>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完成情况：已于2023年4月、5月，分别发放省代表、市代表履职补助。</w:t>
      </w:r>
    </w:p>
    <w:p>
      <w:pPr>
        <w:pStyle w:val="10"/>
        <w:keepNext/>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自评得分：15分。</w:t>
      </w:r>
    </w:p>
    <w:p>
      <w:pPr>
        <w:keepNext/>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b/>
          <w:bCs w:val="0"/>
          <w:color w:val="auto"/>
          <w:sz w:val="32"/>
        </w:rPr>
      </w:pPr>
      <w:r>
        <w:rPr>
          <w:rFonts w:hint="eastAsia" w:ascii="宋体" w:hAnsi="宋体" w:eastAsia="仿宋_GB2312" w:cs="仿宋_GB2312"/>
          <w:b/>
          <w:bCs w:val="0"/>
          <w:color w:val="auto"/>
          <w:sz w:val="32"/>
        </w:rPr>
        <w:t>4.成本指标（满分1</w:t>
      </w:r>
      <w:r>
        <w:rPr>
          <w:rFonts w:hint="eastAsia" w:ascii="宋体" w:hAnsi="宋体" w:eastAsia="仿宋_GB2312" w:cs="仿宋_GB2312"/>
          <w:b/>
          <w:bCs w:val="0"/>
          <w:color w:val="auto"/>
          <w:sz w:val="32"/>
          <w:lang w:val="en-US" w:eastAsia="zh-CN"/>
        </w:rPr>
        <w:t>0</w:t>
      </w:r>
      <w:r>
        <w:rPr>
          <w:rFonts w:hint="eastAsia" w:ascii="宋体" w:hAnsi="宋体" w:eastAsia="仿宋_GB2312" w:cs="仿宋_GB2312"/>
          <w:b/>
          <w:bCs w:val="0"/>
          <w:color w:val="auto"/>
          <w:sz w:val="32"/>
        </w:rPr>
        <w:t>分，实得</w:t>
      </w:r>
      <w:r>
        <w:rPr>
          <w:rFonts w:hint="eastAsia" w:ascii="宋体" w:hAnsi="宋体" w:eastAsia="仿宋_GB2312" w:cs="仿宋_GB2312"/>
          <w:b/>
          <w:bCs w:val="0"/>
          <w:color w:val="auto"/>
          <w:sz w:val="32"/>
          <w:lang w:val="en-US" w:eastAsia="zh-CN"/>
        </w:rPr>
        <w:t>10</w:t>
      </w:r>
      <w:r>
        <w:rPr>
          <w:rFonts w:hint="eastAsia" w:ascii="宋体" w:hAnsi="宋体" w:eastAsia="仿宋_GB2312" w:cs="仿宋_GB2312"/>
          <w:b/>
          <w:bCs w:val="0"/>
          <w:color w:val="auto"/>
          <w:sz w:val="32"/>
        </w:rPr>
        <w:t>分）</w:t>
      </w:r>
    </w:p>
    <w:p>
      <w:pPr>
        <w:pStyle w:val="10"/>
        <w:keepNext/>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仿宋_GB2312" w:cs="仿宋_GB2312"/>
          <w:color w:val="auto"/>
          <w:sz w:val="32"/>
          <w:szCs w:val="32"/>
        </w:rPr>
        <w:t>年初设定的</w:t>
      </w:r>
      <w:r>
        <w:rPr>
          <w:rFonts w:hint="eastAsia" w:ascii="宋体" w:hAnsi="宋体" w:eastAsia="仿宋_GB2312" w:cs="仿宋_GB2312"/>
          <w:color w:val="auto"/>
          <w:sz w:val="32"/>
          <w:szCs w:val="32"/>
          <w:lang w:eastAsia="zh-CN"/>
        </w:rPr>
        <w:t>成本</w:t>
      </w:r>
      <w:r>
        <w:rPr>
          <w:rFonts w:hint="eastAsia" w:ascii="宋体" w:hAnsi="宋体" w:eastAsia="仿宋_GB2312" w:cs="仿宋_GB2312"/>
          <w:color w:val="auto"/>
          <w:sz w:val="32"/>
          <w:szCs w:val="32"/>
        </w:rPr>
        <w:t>指标为</w:t>
      </w:r>
      <w:r>
        <w:rPr>
          <w:rFonts w:hint="eastAsia" w:ascii="宋体" w:hAnsi="宋体" w:eastAsia="仿宋_GB2312" w:cs="仿宋_GB2312"/>
          <w:color w:val="auto"/>
          <w:sz w:val="32"/>
          <w:szCs w:val="32"/>
          <w:lang w:eastAsia="zh-CN"/>
        </w:rPr>
        <w:t>：项目总支出大于等于</w:t>
      </w:r>
      <w:r>
        <w:rPr>
          <w:rFonts w:hint="eastAsia" w:ascii="宋体" w:hAnsi="宋体" w:eastAsia="仿宋_GB2312" w:cs="仿宋_GB2312"/>
          <w:color w:val="auto"/>
          <w:sz w:val="32"/>
          <w:szCs w:val="32"/>
          <w:lang w:val="en-US" w:eastAsia="zh-CN"/>
        </w:rPr>
        <w:t>132万元</w:t>
      </w:r>
      <w:r>
        <w:rPr>
          <w:rFonts w:hint="eastAsia" w:ascii="宋体" w:hAnsi="宋体" w:eastAsia="仿宋_GB2312" w:cs="Times New Roman"/>
          <w:color w:val="auto"/>
          <w:kern w:val="2"/>
          <w:sz w:val="32"/>
          <w:szCs w:val="32"/>
          <w:lang w:val="en-US" w:eastAsia="zh-CN" w:bidi="ar-SA"/>
        </w:rPr>
        <w:t>元。</w:t>
      </w:r>
    </w:p>
    <w:p>
      <w:pPr>
        <w:pStyle w:val="10"/>
        <w:keepNext/>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仿宋_GB2312" w:cs="仿宋_GB2312"/>
          <w:color w:val="auto"/>
          <w:sz w:val="32"/>
          <w:szCs w:val="32"/>
          <w:lang w:eastAsia="zh-CN"/>
        </w:rPr>
      </w:pPr>
      <w:r>
        <w:rPr>
          <w:rFonts w:hint="eastAsia" w:ascii="宋体" w:hAnsi="宋体" w:eastAsia="仿宋_GB2312" w:cs="Times New Roman"/>
          <w:color w:val="auto"/>
          <w:kern w:val="2"/>
          <w:sz w:val="32"/>
          <w:szCs w:val="32"/>
          <w:lang w:val="en-US" w:eastAsia="zh-CN" w:bidi="ar-SA"/>
        </w:rPr>
        <w:t>完成情况：</w:t>
      </w:r>
      <w:r>
        <w:rPr>
          <w:rFonts w:hint="eastAsia" w:ascii="宋体" w:hAnsi="宋体" w:eastAsia="仿宋_GB2312" w:cs="仿宋_GB2312"/>
          <w:color w:val="auto"/>
          <w:sz w:val="32"/>
          <w:szCs w:val="32"/>
          <w:lang w:val="en-US" w:eastAsia="zh-CN"/>
        </w:rPr>
        <w:t>2023</w:t>
      </w:r>
      <w:r>
        <w:rPr>
          <w:rFonts w:hint="eastAsia" w:ascii="宋体" w:hAnsi="宋体" w:eastAsia="仿宋_GB2312" w:cs="仿宋_GB2312"/>
          <w:color w:val="auto"/>
          <w:sz w:val="32"/>
          <w:szCs w:val="32"/>
        </w:rPr>
        <w:t>年预算安排</w:t>
      </w:r>
      <w:r>
        <w:rPr>
          <w:rFonts w:hint="eastAsia" w:ascii="宋体" w:hAnsi="宋体" w:eastAsia="仿宋_GB2312" w:cs="仿宋_GB2312"/>
          <w:b w:val="0"/>
          <w:bCs/>
          <w:color w:val="auto"/>
          <w:sz w:val="32"/>
          <w:szCs w:val="32"/>
          <w:lang w:val="en-US" w:eastAsia="zh-CN"/>
        </w:rPr>
        <w:t>132</w:t>
      </w:r>
      <w:r>
        <w:rPr>
          <w:rFonts w:hint="eastAsia" w:ascii="宋体" w:hAnsi="宋体" w:eastAsia="仿宋_GB2312" w:cs="仿宋_GB2312"/>
          <w:color w:val="auto"/>
          <w:sz w:val="32"/>
          <w:szCs w:val="32"/>
        </w:rPr>
        <w:t>万元，全年</w:t>
      </w:r>
      <w:r>
        <w:rPr>
          <w:rFonts w:hint="eastAsia" w:ascii="宋体" w:hAnsi="宋体" w:eastAsia="仿宋_GB2312" w:cs="仿宋_GB2312"/>
          <w:color w:val="auto"/>
          <w:sz w:val="32"/>
          <w:szCs w:val="32"/>
          <w:lang w:eastAsia="zh-CN"/>
        </w:rPr>
        <w:t>支出</w:t>
      </w:r>
      <w:r>
        <w:rPr>
          <w:rFonts w:hint="eastAsia" w:ascii="宋体" w:hAnsi="宋体" w:eastAsia="仿宋_GB2312" w:cs="仿宋_GB2312"/>
          <w:b w:val="0"/>
          <w:bCs/>
          <w:color w:val="auto"/>
          <w:sz w:val="32"/>
          <w:szCs w:val="32"/>
          <w:lang w:val="en-US" w:eastAsia="zh-CN"/>
        </w:rPr>
        <w:t>132</w:t>
      </w:r>
      <w:r>
        <w:rPr>
          <w:rFonts w:hint="eastAsia" w:ascii="宋体" w:hAnsi="宋体" w:eastAsia="仿宋_GB2312" w:cs="仿宋_GB2312"/>
          <w:color w:val="auto"/>
          <w:sz w:val="32"/>
          <w:szCs w:val="32"/>
        </w:rPr>
        <w:t>万元</w:t>
      </w:r>
      <w:r>
        <w:rPr>
          <w:rFonts w:hint="eastAsia" w:ascii="宋体" w:hAnsi="宋体" w:eastAsia="仿宋_GB2312" w:cs="仿宋_GB2312"/>
          <w:color w:val="auto"/>
          <w:sz w:val="32"/>
          <w:szCs w:val="32"/>
          <w:lang w:eastAsia="zh-CN"/>
        </w:rPr>
        <w:t>。</w:t>
      </w:r>
    </w:p>
    <w:p>
      <w:pPr>
        <w:pStyle w:val="10"/>
        <w:keepNext/>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自评得分：10分。</w:t>
      </w:r>
    </w:p>
    <w:p>
      <w:pPr>
        <w:keepNext/>
        <w:keepLines w:val="0"/>
        <w:pageBreakBefore w:val="0"/>
        <w:widowControl w:val="0"/>
        <w:kinsoku/>
        <w:wordWrap/>
        <w:overflowPunct/>
        <w:topLinePunct w:val="0"/>
        <w:autoSpaceDE/>
        <w:autoSpaceDN/>
        <w:bidi w:val="0"/>
        <w:adjustRightInd/>
        <w:snapToGrid/>
        <w:spacing w:line="580" w:lineRule="exact"/>
        <w:ind w:right="-283" w:firstLine="640" w:firstLineChars="200"/>
        <w:textAlignment w:val="auto"/>
        <w:rPr>
          <w:rFonts w:hint="eastAsia" w:ascii="宋体" w:hAnsi="宋体" w:eastAsia="楷体_GB2312" w:cs="楷体_GB2312"/>
          <w:b w:val="0"/>
          <w:bCs w:val="0"/>
          <w:color w:val="auto"/>
          <w:sz w:val="32"/>
          <w:szCs w:val="24"/>
        </w:rPr>
      </w:pPr>
      <w:r>
        <w:rPr>
          <w:rFonts w:hint="eastAsia" w:ascii="宋体" w:hAnsi="宋体" w:eastAsia="楷体_GB2312" w:cs="楷体_GB2312"/>
          <w:b w:val="0"/>
          <w:bCs w:val="0"/>
          <w:color w:val="auto"/>
          <w:sz w:val="32"/>
          <w:szCs w:val="24"/>
        </w:rPr>
        <w:t>（三）效益指标（满分</w:t>
      </w:r>
      <w:r>
        <w:rPr>
          <w:rFonts w:hint="eastAsia" w:ascii="宋体" w:hAnsi="宋体" w:eastAsia="楷体_GB2312" w:cs="楷体_GB2312"/>
          <w:b w:val="0"/>
          <w:bCs w:val="0"/>
          <w:color w:val="auto"/>
          <w:sz w:val="32"/>
          <w:szCs w:val="24"/>
          <w:lang w:val="en-US" w:eastAsia="zh-CN"/>
        </w:rPr>
        <w:t>30</w:t>
      </w:r>
      <w:r>
        <w:rPr>
          <w:rFonts w:hint="eastAsia" w:ascii="宋体" w:hAnsi="宋体" w:eastAsia="楷体_GB2312" w:cs="楷体_GB2312"/>
          <w:b w:val="0"/>
          <w:bCs w:val="0"/>
          <w:color w:val="auto"/>
          <w:sz w:val="32"/>
          <w:szCs w:val="24"/>
        </w:rPr>
        <w:t>分，实得</w:t>
      </w:r>
      <w:r>
        <w:rPr>
          <w:rFonts w:hint="eastAsia" w:ascii="宋体" w:hAnsi="宋体" w:eastAsia="楷体_GB2312" w:cs="楷体_GB2312"/>
          <w:b w:val="0"/>
          <w:bCs w:val="0"/>
          <w:color w:val="auto"/>
          <w:sz w:val="32"/>
          <w:szCs w:val="24"/>
          <w:lang w:val="en-US" w:eastAsia="zh-CN"/>
        </w:rPr>
        <w:t>30</w:t>
      </w:r>
      <w:r>
        <w:rPr>
          <w:rFonts w:hint="eastAsia" w:ascii="宋体" w:hAnsi="宋体" w:eastAsia="楷体_GB2312" w:cs="楷体_GB2312"/>
          <w:b w:val="0"/>
          <w:bCs w:val="0"/>
          <w:color w:val="auto"/>
          <w:sz w:val="32"/>
          <w:szCs w:val="24"/>
        </w:rPr>
        <w:t>分）</w:t>
      </w:r>
    </w:p>
    <w:p>
      <w:pPr>
        <w:keepNext/>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b/>
          <w:bCs w:val="0"/>
          <w:color w:val="auto"/>
          <w:sz w:val="32"/>
        </w:rPr>
      </w:pPr>
      <w:r>
        <w:rPr>
          <w:rFonts w:hint="eastAsia" w:ascii="宋体" w:hAnsi="宋体" w:eastAsia="仿宋_GB2312" w:cs="仿宋_GB2312"/>
          <w:b/>
          <w:bCs w:val="0"/>
          <w:color w:val="auto"/>
          <w:sz w:val="32"/>
        </w:rPr>
        <w:t>社会效益指标（满分</w:t>
      </w:r>
      <w:r>
        <w:rPr>
          <w:rFonts w:hint="eastAsia" w:ascii="宋体" w:hAnsi="宋体" w:eastAsia="仿宋_GB2312" w:cs="仿宋_GB2312"/>
          <w:b/>
          <w:bCs w:val="0"/>
          <w:color w:val="auto"/>
          <w:sz w:val="32"/>
          <w:lang w:val="en-US" w:eastAsia="zh-CN"/>
        </w:rPr>
        <w:t>30</w:t>
      </w:r>
      <w:r>
        <w:rPr>
          <w:rFonts w:hint="eastAsia" w:ascii="宋体" w:hAnsi="宋体" w:eastAsia="仿宋_GB2312" w:cs="仿宋_GB2312"/>
          <w:b/>
          <w:bCs w:val="0"/>
          <w:color w:val="auto"/>
          <w:sz w:val="32"/>
        </w:rPr>
        <w:t>分，实得</w:t>
      </w:r>
      <w:r>
        <w:rPr>
          <w:rFonts w:hint="eastAsia" w:ascii="宋体" w:hAnsi="宋体" w:eastAsia="仿宋_GB2312" w:cs="仿宋_GB2312"/>
          <w:b/>
          <w:bCs w:val="0"/>
          <w:color w:val="auto"/>
          <w:sz w:val="32"/>
          <w:lang w:val="en-US" w:eastAsia="zh-CN"/>
        </w:rPr>
        <w:t>30</w:t>
      </w:r>
      <w:r>
        <w:rPr>
          <w:rFonts w:hint="eastAsia" w:ascii="宋体" w:hAnsi="宋体" w:eastAsia="仿宋_GB2312" w:cs="仿宋_GB2312"/>
          <w:b/>
          <w:bCs w:val="0"/>
          <w:color w:val="auto"/>
          <w:sz w:val="32"/>
        </w:rPr>
        <w:t>分）</w:t>
      </w:r>
    </w:p>
    <w:p>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rPr>
        <w:t>年初设定的</w:t>
      </w:r>
      <w:r>
        <w:rPr>
          <w:rFonts w:hint="eastAsia" w:ascii="宋体" w:hAnsi="宋体" w:eastAsia="仿宋_GB2312" w:cs="仿宋_GB2312"/>
          <w:color w:val="auto"/>
          <w:sz w:val="32"/>
          <w:szCs w:val="32"/>
          <w:lang w:eastAsia="zh-CN"/>
        </w:rPr>
        <w:t>社会效益</w:t>
      </w:r>
      <w:r>
        <w:rPr>
          <w:rFonts w:hint="eastAsia" w:ascii="宋体" w:hAnsi="宋体" w:eastAsia="仿宋_GB2312" w:cs="仿宋_GB2312"/>
          <w:color w:val="auto"/>
          <w:sz w:val="32"/>
          <w:szCs w:val="32"/>
        </w:rPr>
        <w:t>指标为</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支持和保障代表依法履职，提高监督质量和成效。</w:t>
      </w:r>
    </w:p>
    <w:p>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完成情况：坚持把代表工作作为基础性工作来抓，尊重代表主体地位，支持和保障代表依法履职，使发挥各级人大代表作用成为人民当家作主的重要体现。</w:t>
      </w:r>
    </w:p>
    <w:p>
      <w:pPr>
        <w:keepNext/>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b/>
          <w:bCs/>
          <w:color w:val="auto"/>
          <w:sz w:val="32"/>
          <w:szCs w:val="32"/>
          <w:lang w:val="en-US" w:eastAsia="zh-CN"/>
        </w:rPr>
        <w:t>一是</w:t>
      </w:r>
      <w:r>
        <w:rPr>
          <w:rFonts w:hint="eastAsia" w:ascii="宋体" w:hAnsi="宋体" w:eastAsia="仿宋_GB2312" w:cs="仿宋_GB2312"/>
          <w:color w:val="auto"/>
          <w:sz w:val="32"/>
          <w:szCs w:val="32"/>
          <w:lang w:val="en-US" w:eastAsia="zh-CN"/>
        </w:rPr>
        <w:t>夯实代表履职基础。加强和改进代表学习培训工作，突出政治素质、法律法规、参政能力等方面内容，健全完善初任培训、履职培训、专题培训等多种培训机制，先后组织在淮省人大代表、市人大代表小组组长、街道人大工委主任等参加各类培训活动，累计培训省、市两级人大代表和基层人大干部280余人次。依托全国人大网络学院、代表履职通等平台，常态化开展“线上学习”活动，累计组织专题学习80期，切实提高代表履职水平。</w:t>
      </w:r>
    </w:p>
    <w:p>
      <w:pPr>
        <w:keepNext/>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b/>
          <w:bCs/>
          <w:color w:val="auto"/>
          <w:sz w:val="32"/>
          <w:szCs w:val="32"/>
          <w:lang w:val="en-US" w:eastAsia="zh-CN"/>
        </w:rPr>
        <w:t>二是</w:t>
      </w:r>
      <w:r>
        <w:rPr>
          <w:rFonts w:hint="eastAsia" w:ascii="宋体" w:hAnsi="宋体" w:eastAsia="仿宋_GB2312" w:cs="仿宋_GB2312"/>
          <w:color w:val="auto"/>
          <w:sz w:val="32"/>
          <w:szCs w:val="32"/>
          <w:lang w:val="en-US" w:eastAsia="zh-CN"/>
        </w:rPr>
        <w:t>激发代表履职热情。深化“双联”工作机制，定期开展督导检查，推动“双联”工作落细落实。拓宽代表联系服务群众平台，深入推进代表活动室和代表工作站规范化建设。邀请省、市人大代表240余人次列席常委会会议、参加视察调研、执法检查等活动，扩大代表参与常委会工作的广度和深度。首次在人代会会前组织与会代表集中视察全市部分重点项目和民生工程建设情况，为代表审议工作报告、提出高质量意见建议打下良好基础。组织部分在淮全国人大代表、省人大代表赴淮安、徐州等地学习或异地视察，全市省、市两级代表小组围绕产业发展、职业教育、民生改善等开展专题调研，广泛收集民情民意，形成调研报告17篇，为推动经济社会发展积极建言献策。</w:t>
      </w:r>
    </w:p>
    <w:p>
      <w:pPr>
        <w:keepNext/>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b/>
          <w:bCs/>
          <w:color w:val="auto"/>
          <w:sz w:val="32"/>
          <w:szCs w:val="32"/>
          <w:lang w:val="en-US" w:eastAsia="zh-CN"/>
        </w:rPr>
        <w:t>三是</w:t>
      </w:r>
      <w:r>
        <w:rPr>
          <w:rFonts w:hint="eastAsia" w:ascii="宋体" w:hAnsi="宋体" w:eastAsia="仿宋_GB2312" w:cs="仿宋_GB2312"/>
          <w:color w:val="auto"/>
          <w:sz w:val="32"/>
          <w:szCs w:val="32"/>
          <w:lang w:val="en-US" w:eastAsia="zh-CN"/>
        </w:rPr>
        <w:t>增强代表履职实效。扎实开展“关注民生提建议，五级代表在行动”工作，推动全市各级人大代表积极围绕经济发展、社情民意等方面提出意见建议。去年，共收到闭会建议和社情民意4.29万件，办结2.75万件，有效推动了经济社会发展和民生实事落地。创办《代表之声》，定期遴选刊发有典型性、针对性的代表建议。积极与省人大和市委工作平台对接融入，“提升凤台县文化知名度”“改善基层卫生医疗条件”等14条建议被省人大《代表之声》采纳，“加强山南中央公园绿地管理”“开展车辆乱停乱放专项整治”等27条建议被市委《民声呼应》工作平台采用。持续开展优秀议案建议评选表彰工作，优化代表建议办理网络平台建设，不断提高议案建议办理工作水平。市十七届人大三次会议期间代表提出的281件议案建议已全部办结，议案建议办理满意率和基本满意率达96.77%。</w:t>
      </w:r>
    </w:p>
    <w:p>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自评得分：30分。</w:t>
      </w:r>
    </w:p>
    <w:p>
      <w:pPr>
        <w:keepNext/>
        <w:keepLines w:val="0"/>
        <w:pageBreakBefore w:val="0"/>
        <w:widowControl w:val="0"/>
        <w:kinsoku/>
        <w:wordWrap/>
        <w:overflowPunct/>
        <w:topLinePunct w:val="0"/>
        <w:autoSpaceDE/>
        <w:autoSpaceDN/>
        <w:bidi w:val="0"/>
        <w:adjustRightInd/>
        <w:snapToGrid/>
        <w:spacing w:line="580" w:lineRule="exact"/>
        <w:ind w:right="-283" w:firstLine="640" w:firstLineChars="200"/>
        <w:textAlignment w:val="auto"/>
        <w:rPr>
          <w:rFonts w:hint="eastAsia" w:ascii="宋体" w:hAnsi="宋体" w:eastAsia="楷体_GB2312" w:cs="楷体_GB2312"/>
          <w:b w:val="0"/>
          <w:bCs w:val="0"/>
          <w:color w:val="auto"/>
          <w:sz w:val="32"/>
          <w:szCs w:val="24"/>
        </w:rPr>
      </w:pPr>
      <w:r>
        <w:rPr>
          <w:rFonts w:hint="eastAsia" w:ascii="宋体" w:hAnsi="宋体" w:eastAsia="楷体_GB2312" w:cs="楷体_GB2312"/>
          <w:b w:val="0"/>
          <w:bCs w:val="0"/>
          <w:color w:val="auto"/>
          <w:sz w:val="32"/>
          <w:szCs w:val="24"/>
        </w:rPr>
        <w:t>（</w:t>
      </w:r>
      <w:r>
        <w:rPr>
          <w:rFonts w:hint="eastAsia" w:ascii="宋体" w:hAnsi="宋体" w:eastAsia="楷体_GB2312" w:cs="楷体_GB2312"/>
          <w:b w:val="0"/>
          <w:bCs w:val="0"/>
          <w:color w:val="auto"/>
          <w:sz w:val="32"/>
          <w:szCs w:val="24"/>
          <w:lang w:val="en-US" w:eastAsia="zh-CN"/>
        </w:rPr>
        <w:t>四</w:t>
      </w:r>
      <w:r>
        <w:rPr>
          <w:rFonts w:hint="eastAsia" w:ascii="宋体" w:hAnsi="宋体" w:eastAsia="楷体_GB2312" w:cs="楷体_GB2312"/>
          <w:b w:val="0"/>
          <w:bCs w:val="0"/>
          <w:color w:val="auto"/>
          <w:sz w:val="32"/>
          <w:szCs w:val="24"/>
        </w:rPr>
        <w:t>）</w:t>
      </w:r>
      <w:r>
        <w:rPr>
          <w:rFonts w:hint="eastAsia" w:ascii="宋体" w:hAnsi="宋体" w:eastAsia="楷体_GB2312" w:cs="楷体_GB2312"/>
          <w:b w:val="0"/>
          <w:bCs w:val="0"/>
          <w:color w:val="auto"/>
          <w:sz w:val="32"/>
          <w:szCs w:val="24"/>
          <w:lang w:val="en-US" w:eastAsia="zh-CN"/>
        </w:rPr>
        <w:t>满意度</w:t>
      </w:r>
      <w:r>
        <w:rPr>
          <w:rFonts w:hint="eastAsia" w:ascii="宋体" w:hAnsi="宋体" w:eastAsia="楷体_GB2312" w:cs="楷体_GB2312"/>
          <w:b w:val="0"/>
          <w:bCs w:val="0"/>
          <w:color w:val="auto"/>
          <w:sz w:val="32"/>
          <w:szCs w:val="24"/>
        </w:rPr>
        <w:t>指标（满分</w:t>
      </w:r>
      <w:r>
        <w:rPr>
          <w:rFonts w:hint="eastAsia" w:ascii="宋体" w:hAnsi="宋体" w:eastAsia="楷体_GB2312" w:cs="楷体_GB2312"/>
          <w:b w:val="0"/>
          <w:bCs w:val="0"/>
          <w:color w:val="auto"/>
          <w:sz w:val="32"/>
          <w:szCs w:val="24"/>
          <w:lang w:val="en-US" w:eastAsia="zh-CN"/>
        </w:rPr>
        <w:t>10</w:t>
      </w:r>
      <w:r>
        <w:rPr>
          <w:rFonts w:hint="eastAsia" w:ascii="宋体" w:hAnsi="宋体" w:eastAsia="楷体_GB2312" w:cs="楷体_GB2312"/>
          <w:b w:val="0"/>
          <w:bCs w:val="0"/>
          <w:color w:val="auto"/>
          <w:sz w:val="32"/>
          <w:szCs w:val="24"/>
        </w:rPr>
        <w:t>分，实得</w:t>
      </w:r>
      <w:r>
        <w:rPr>
          <w:rFonts w:hint="eastAsia" w:ascii="宋体" w:hAnsi="宋体" w:eastAsia="楷体_GB2312" w:cs="楷体_GB2312"/>
          <w:b w:val="0"/>
          <w:bCs w:val="0"/>
          <w:color w:val="auto"/>
          <w:sz w:val="32"/>
          <w:szCs w:val="24"/>
          <w:lang w:val="en-US" w:eastAsia="zh-CN"/>
        </w:rPr>
        <w:t>10</w:t>
      </w:r>
      <w:r>
        <w:rPr>
          <w:rFonts w:hint="eastAsia" w:ascii="宋体" w:hAnsi="宋体" w:eastAsia="楷体_GB2312" w:cs="楷体_GB2312"/>
          <w:b w:val="0"/>
          <w:bCs w:val="0"/>
          <w:color w:val="auto"/>
          <w:sz w:val="32"/>
          <w:szCs w:val="24"/>
        </w:rPr>
        <w:t>分）</w:t>
      </w:r>
    </w:p>
    <w:p>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年初设定的</w:t>
      </w:r>
      <w:r>
        <w:rPr>
          <w:rFonts w:hint="eastAsia" w:ascii="宋体" w:hAnsi="宋体" w:eastAsia="仿宋_GB2312" w:cs="仿宋_GB2312"/>
          <w:color w:val="auto"/>
          <w:sz w:val="32"/>
          <w:szCs w:val="32"/>
          <w:lang w:eastAsia="zh-CN"/>
        </w:rPr>
        <w:t>满意度</w:t>
      </w:r>
      <w:r>
        <w:rPr>
          <w:rFonts w:hint="eastAsia" w:ascii="宋体" w:hAnsi="宋体" w:eastAsia="仿宋_GB2312" w:cs="仿宋_GB2312"/>
          <w:color w:val="auto"/>
          <w:sz w:val="32"/>
          <w:szCs w:val="32"/>
        </w:rPr>
        <w:t>指标为</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人大代表满意度</w:t>
      </w:r>
      <w:r>
        <w:rPr>
          <w:rFonts w:hint="eastAsia" w:ascii="宋体" w:hAnsi="宋体" w:eastAsia="仿宋_GB2312" w:cs="仿宋_GB2312"/>
          <w:color w:val="auto"/>
          <w:sz w:val="32"/>
          <w:szCs w:val="32"/>
          <w:lang w:eastAsia="zh-CN"/>
        </w:rPr>
        <w:t>较高。</w:t>
      </w:r>
    </w:p>
    <w:p>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完成情况：《淮南市人民代表大会常务委员会工作报告》在市第十七届人民代表大会第四次会议上全票通过。</w:t>
      </w:r>
    </w:p>
    <w:p>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黑体"/>
          <w:color w:val="000000"/>
          <w:sz w:val="32"/>
          <w:szCs w:val="32"/>
        </w:rPr>
      </w:pPr>
      <w:r>
        <w:rPr>
          <w:rFonts w:hint="eastAsia" w:ascii="宋体" w:hAnsi="宋体" w:eastAsia="仿宋_GB2312" w:cs="仿宋_GB2312"/>
          <w:color w:val="auto"/>
          <w:sz w:val="32"/>
          <w:szCs w:val="32"/>
          <w:lang w:val="en-US" w:eastAsia="zh-CN"/>
        </w:rPr>
        <w:t>自评得分：10分。</w:t>
      </w:r>
    </w:p>
    <w:p>
      <w:pPr>
        <w:keepNext/>
        <w:keepLines w:val="0"/>
        <w:pageBreakBefore w:val="0"/>
        <w:kinsoku/>
        <w:wordWrap/>
        <w:overflowPunct/>
        <w:topLinePunct w:val="0"/>
        <w:autoSpaceDE/>
        <w:autoSpaceDN/>
        <w:bidi w:val="0"/>
        <w:adjustRightInd/>
        <w:snapToGrid/>
        <w:spacing w:line="580" w:lineRule="exact"/>
        <w:ind w:right="-283" w:firstLine="640" w:firstLineChars="200"/>
        <w:textAlignment w:val="auto"/>
        <w:rPr>
          <w:rFonts w:ascii="宋体" w:hAnsi="宋体" w:eastAsia="黑体"/>
          <w:color w:val="000000"/>
          <w:sz w:val="32"/>
          <w:szCs w:val="32"/>
        </w:rPr>
      </w:pPr>
      <w:r>
        <w:rPr>
          <w:rFonts w:hint="eastAsia" w:ascii="宋体" w:hAnsi="宋体" w:eastAsia="黑体"/>
          <w:color w:val="000000"/>
          <w:sz w:val="32"/>
          <w:szCs w:val="32"/>
          <w:lang w:eastAsia="zh-CN"/>
        </w:rPr>
        <w:t>四、</w:t>
      </w:r>
      <w:r>
        <w:rPr>
          <w:rFonts w:ascii="宋体" w:hAnsi="宋体" w:eastAsia="黑体"/>
          <w:color w:val="000000"/>
          <w:sz w:val="32"/>
          <w:szCs w:val="32"/>
        </w:rPr>
        <w:t>存在问题</w:t>
      </w:r>
    </w:p>
    <w:p>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仿宋_GB2312" w:cs="仿宋_GB2312"/>
          <w:color w:val="auto"/>
          <w:sz w:val="32"/>
          <w:szCs w:val="32"/>
          <w:lang w:val="en-US" w:eastAsia="zh-CN"/>
        </w:rPr>
      </w:pPr>
      <w:r>
        <w:rPr>
          <w:rFonts w:hint="eastAsia" w:ascii="宋体" w:hAnsi="宋体" w:eastAsia="仿宋_GB2312"/>
          <w:bCs/>
          <w:color w:val="auto"/>
          <w:sz w:val="32"/>
          <w:szCs w:val="32"/>
        </w:rPr>
        <w:t>由于年度工作的不确定性，部分指标设置不够合</w:t>
      </w:r>
      <w:r>
        <w:rPr>
          <w:rFonts w:hint="eastAsia" w:ascii="宋体" w:hAnsi="宋体" w:eastAsia="仿宋_GB2312"/>
          <w:bCs/>
          <w:color w:val="auto"/>
          <w:sz w:val="32"/>
          <w:szCs w:val="32"/>
          <w:lang w:eastAsia="zh-CN"/>
        </w:rPr>
        <w:t>理，</w:t>
      </w:r>
      <w:r>
        <w:rPr>
          <w:rFonts w:hint="eastAsia" w:ascii="宋体" w:hAnsi="宋体" w:eastAsia="仿宋_GB2312"/>
          <w:bCs/>
          <w:color w:val="auto"/>
          <w:sz w:val="32"/>
          <w:szCs w:val="32"/>
        </w:rPr>
        <w:t>指标体系需要进一步细化</w:t>
      </w:r>
      <w:r>
        <w:rPr>
          <w:rFonts w:hint="eastAsia" w:ascii="宋体" w:hAnsi="宋体" w:eastAsia="仿宋_GB2312"/>
          <w:bCs/>
          <w:color w:val="auto"/>
          <w:sz w:val="32"/>
          <w:szCs w:val="32"/>
          <w:lang w:eastAsia="zh-CN"/>
        </w:rPr>
        <w:t>，准确性需要进一步提升。</w:t>
      </w:r>
    </w:p>
    <w:p>
      <w:pPr>
        <w:keepNext/>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宋体" w:hAnsi="宋体" w:eastAsia="黑体"/>
          <w:color w:val="000000"/>
          <w:sz w:val="32"/>
          <w:szCs w:val="32"/>
        </w:rPr>
      </w:pPr>
      <w:r>
        <w:rPr>
          <w:rFonts w:hint="eastAsia" w:ascii="宋体" w:hAnsi="宋体" w:eastAsia="黑体"/>
          <w:color w:val="000000"/>
          <w:sz w:val="32"/>
          <w:szCs w:val="32"/>
          <w:lang w:eastAsia="zh-CN"/>
        </w:rPr>
        <w:t>五</w:t>
      </w:r>
      <w:r>
        <w:rPr>
          <w:rFonts w:ascii="宋体" w:hAnsi="宋体" w:eastAsia="黑体"/>
          <w:color w:val="000000"/>
          <w:sz w:val="32"/>
          <w:szCs w:val="32"/>
        </w:rPr>
        <w:t>、意见和建议</w:t>
      </w:r>
    </w:p>
    <w:p>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为加强部门预算绩效管理，提高财政资金使用效益，下一步</w:t>
      </w:r>
      <w:r>
        <w:rPr>
          <w:rFonts w:hint="eastAsia" w:ascii="宋体" w:hAnsi="宋体" w:eastAsia="仿宋_GB2312" w:cs="仿宋_GB2312"/>
          <w:color w:val="auto"/>
          <w:sz w:val="32"/>
          <w:szCs w:val="32"/>
          <w:lang w:eastAsia="zh-CN"/>
        </w:rPr>
        <w:t>将持续完善项目</w:t>
      </w:r>
      <w:r>
        <w:rPr>
          <w:rFonts w:hint="eastAsia" w:ascii="宋体" w:hAnsi="宋体" w:eastAsia="仿宋_GB2312"/>
          <w:color w:val="auto"/>
          <w:sz w:val="32"/>
          <w:szCs w:val="32"/>
          <w:lang w:eastAsia="zh-CN"/>
        </w:rPr>
        <w:t>绩效</w:t>
      </w:r>
      <w:r>
        <w:rPr>
          <w:rFonts w:ascii="宋体" w:hAnsi="宋体" w:eastAsia="仿宋_GB2312"/>
          <w:color w:val="auto"/>
          <w:sz w:val="32"/>
          <w:szCs w:val="32"/>
        </w:rPr>
        <w:t>指标体系</w:t>
      </w:r>
      <w:r>
        <w:rPr>
          <w:rFonts w:hint="eastAsia" w:ascii="宋体" w:hAnsi="宋体" w:eastAsia="仿宋_GB2312"/>
          <w:color w:val="auto"/>
          <w:sz w:val="32"/>
          <w:szCs w:val="32"/>
          <w:lang w:eastAsia="zh-CN"/>
        </w:rPr>
        <w:t>，确保准确衡量项目绩效管理水平。</w:t>
      </w:r>
    </w:p>
    <w:p>
      <w:pPr>
        <w:keepNext/>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六、</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依据</w:t>
      </w:r>
    </w:p>
    <w:p>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default" w:ascii="宋体" w:hAnsi="宋体" w:eastAsia="仿宋_GB2312" w:cs="仿宋_GB2312"/>
          <w:color w:val="auto"/>
          <w:kern w:val="2"/>
          <w:sz w:val="32"/>
          <w:szCs w:val="32"/>
          <w:lang w:val="en-US" w:eastAsia="zh-CN" w:bidi="ar-SA"/>
        </w:rPr>
      </w:pPr>
      <w:r>
        <w:rPr>
          <w:rFonts w:hint="eastAsia"/>
          <w:lang w:val="en-US" w:eastAsia="zh-CN"/>
        </w:rPr>
        <w:t xml:space="preserve">  </w:t>
      </w:r>
      <w:r>
        <w:rPr>
          <w:rFonts w:hint="eastAsia" w:ascii="宋体" w:hAnsi="宋体" w:eastAsia="仿宋_GB2312" w:cs="仿宋_GB2312"/>
          <w:color w:val="auto"/>
          <w:kern w:val="2"/>
          <w:sz w:val="32"/>
          <w:szCs w:val="32"/>
          <w:lang w:val="en-US" w:eastAsia="zh-CN" w:bidi="ar-SA"/>
        </w:rPr>
        <w:t>1.《淮南市财政局关于开展2023年度市级预算支出绩效单位自评和部门评价工作的通知》</w:t>
      </w:r>
    </w:p>
    <w:p>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2.《淮南市人大常委会2023年工作要点》</w:t>
      </w:r>
    </w:p>
    <w:p>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3.《淮南市人民代表大会常务委员会工作报告》</w:t>
      </w:r>
    </w:p>
    <w:p>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4.《项目支出绩效目标申报表（代表经费）》</w:t>
      </w:r>
    </w:p>
    <w:p>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5.部门预、决算有关资料</w:t>
      </w:r>
    </w:p>
    <w:p>
      <w:pPr>
        <w:pStyle w:val="2"/>
        <w:rPr>
          <w:rFonts w:hint="default" w:eastAsia="宋体"/>
          <w:lang w:val="en-US" w:eastAsia="zh-CN"/>
        </w:rPr>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TimesNewRoman">
    <w:altName w:val="Traditional Arabic"/>
    <w:panose1 w:val="02020603050405020304"/>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6D1C7"/>
    <w:multiLevelType w:val="singleLevel"/>
    <w:tmpl w:val="8C66D1C7"/>
    <w:lvl w:ilvl="0" w:tentative="0">
      <w:start w:val="3"/>
      <w:numFmt w:val="chineseCounting"/>
      <w:suff w:val="nothing"/>
      <w:lvlText w:val="%1、"/>
      <w:lvlJc w:val="left"/>
      <w:rPr>
        <w:rFonts w:hint="eastAsia"/>
      </w:rPr>
    </w:lvl>
  </w:abstractNum>
  <w:abstractNum w:abstractNumId="1">
    <w:nsid w:val="F83E82ED"/>
    <w:multiLevelType w:val="singleLevel"/>
    <w:tmpl w:val="F83E82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ZTVjNmQ4NTU3NjVlMmVhY2U2ZTEyNTI3NTRhNTkifQ=="/>
  </w:docVars>
  <w:rsids>
    <w:rsidRoot w:val="700F685A"/>
    <w:rsid w:val="083250A3"/>
    <w:rsid w:val="0B884D36"/>
    <w:rsid w:val="165B2C0C"/>
    <w:rsid w:val="1B1344CE"/>
    <w:rsid w:val="25A75C93"/>
    <w:rsid w:val="2689721A"/>
    <w:rsid w:val="33F755CE"/>
    <w:rsid w:val="34296BBD"/>
    <w:rsid w:val="348D7C25"/>
    <w:rsid w:val="476C32ED"/>
    <w:rsid w:val="53C8219F"/>
    <w:rsid w:val="5B6C4643"/>
    <w:rsid w:val="5C146027"/>
    <w:rsid w:val="6EE12328"/>
    <w:rsid w:val="700F685A"/>
    <w:rsid w:val="7A512CF4"/>
    <w:rsid w:val="7D37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ind w:firstLine="420" w:firstLineChars="200"/>
    </w:pPr>
    <w:rPr>
      <w:rFonts w:eastAsia="宋体"/>
      <w:sz w:val="21"/>
    </w:rPr>
  </w:style>
  <w:style w:type="paragraph" w:styleId="3">
    <w:name w:val="Normal (Web)"/>
    <w:basedOn w:val="1"/>
    <w:autoRedefine/>
    <w:qFormat/>
    <w:uiPriority w:val="0"/>
    <w:rPr>
      <w:rFonts w:eastAsia="宋体"/>
      <w:sz w:val="24"/>
      <w:szCs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71"/>
    <w:basedOn w:val="6"/>
    <w:qFormat/>
    <w:uiPriority w:val="0"/>
    <w:rPr>
      <w:rFonts w:hint="eastAsia" w:ascii="宋体" w:hAnsi="宋体" w:eastAsia="宋体" w:cs="宋体"/>
      <w:b/>
      <w:bCs/>
      <w:color w:val="000000"/>
      <w:sz w:val="32"/>
      <w:szCs w:val="32"/>
      <w:u w:val="none"/>
    </w:rPr>
  </w:style>
  <w:style w:type="character" w:customStyle="1" w:styleId="8">
    <w:name w:val="font21"/>
    <w:basedOn w:val="6"/>
    <w:qFormat/>
    <w:uiPriority w:val="0"/>
    <w:rPr>
      <w:rFonts w:hint="eastAsia" w:ascii="宋体" w:hAnsi="宋体" w:eastAsia="宋体" w:cs="宋体"/>
      <w:color w:val="000000"/>
      <w:sz w:val="32"/>
      <w:szCs w:val="32"/>
      <w:u w:val="none"/>
    </w:rPr>
  </w:style>
  <w:style w:type="character" w:customStyle="1" w:styleId="9">
    <w:name w:val="font11"/>
    <w:basedOn w:val="6"/>
    <w:qFormat/>
    <w:uiPriority w:val="0"/>
    <w:rPr>
      <w:rFonts w:hint="eastAsia" w:ascii="宋体" w:hAnsi="宋体" w:eastAsia="宋体" w:cs="宋体"/>
      <w:color w:val="000000"/>
      <w:sz w:val="20"/>
      <w:szCs w:val="20"/>
      <w:u w:val="none"/>
    </w:rPr>
  </w:style>
  <w:style w:type="paragraph" w:styleId="10">
    <w:name w:val="No Spacing"/>
    <w:qFormat/>
    <w:uiPriority w:val="99"/>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8061</Words>
  <Characters>8649</Characters>
  <Lines>0</Lines>
  <Paragraphs>0</Paragraphs>
  <TotalTime>30</TotalTime>
  <ScaleCrop>false</ScaleCrop>
  <LinksUpToDate>false</LinksUpToDate>
  <CharactersWithSpaces>8738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2024-02-08T00:41:00Z</dcterms:created>
  <dc:creator>   白日梦 </dc:creator>
  <cp:lastModifiedBy>闫荔萍</cp:lastModifiedBy>
  <dcterms:modified xsi:type="dcterms:W3CDTF">2024-08-06T01:29:00Z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5DDA1EBAFF4443B8AA561883B9B0450A_13</vt:lpwstr>
  </property>
</Properties>
</file>